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30ED" w:rsidRPr="003A7CA0" w:rsidRDefault="00000000" w:rsidP="003A7CA0">
      <w:pPr>
        <w:spacing w:after="80"/>
        <w:jc w:val="center"/>
        <w:rPr>
          <w:rFonts w:ascii="Times New Roman" w:hAnsi="Times New Roman" w:cs="Times New Roman"/>
          <w:color w:val="auto"/>
          <w:sz w:val="24"/>
          <w:szCs w:val="24"/>
        </w:rPr>
      </w:pPr>
      <w:r w:rsidRPr="003A7CA0">
        <w:rPr>
          <w:rFonts w:ascii="Times New Roman" w:hAnsi="Times New Roman" w:cs="Times New Roman"/>
          <w:b/>
          <w:bCs/>
          <w:caps/>
          <w:color w:val="auto"/>
          <w:sz w:val="24"/>
          <w:szCs w:val="24"/>
        </w:rPr>
        <w:t>EAST AFRICAN REGIONALSOCIOLOGY AND ANTHROPOLOGY SYMPOSIUM 2026</w:t>
      </w:r>
    </w:p>
    <w:p w:rsidR="007230ED" w:rsidRPr="00F30F55" w:rsidRDefault="003A7CA0">
      <w:pPr>
        <w:spacing w:before="60" w:after="60"/>
        <w:rPr>
          <w:rFonts w:ascii="Times New Roman" w:hAnsi="Times New Roman" w:cs="Times New Roman"/>
          <w:color w:val="auto"/>
        </w:rPr>
      </w:pPr>
      <w:r w:rsidRPr="003A7CA0">
        <w:rPr>
          <w:noProof/>
          <w:sz w:val="24"/>
          <w:szCs w:val="24"/>
          <w:lang w:val="en-US"/>
        </w:rPr>
        <w:drawing>
          <wp:anchor distT="0" distB="0" distL="114300" distR="114300" simplePos="0" relativeHeight="251659264" behindDoc="1" locked="0" layoutInCell="1" allowOverlap="1" wp14:anchorId="1DEA0FDF" wp14:editId="376F9FCD">
            <wp:simplePos x="0" y="0"/>
            <wp:positionH relativeFrom="column">
              <wp:posOffset>1916430</wp:posOffset>
            </wp:positionH>
            <wp:positionV relativeFrom="paragraph">
              <wp:posOffset>71755</wp:posOffset>
            </wp:positionV>
            <wp:extent cx="1767205" cy="787400"/>
            <wp:effectExtent l="0" t="0" r="0" b="0"/>
            <wp:wrapTight wrapText="bothSides">
              <wp:wrapPolygon edited="0">
                <wp:start x="0" y="0"/>
                <wp:lineTo x="0" y="21252"/>
                <wp:lineTo x="21421" y="21252"/>
                <wp:lineTo x="2142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752" b="7707"/>
                    <a:stretch>
                      <a:fillRect/>
                    </a:stretch>
                  </pic:blipFill>
                  <pic:spPr bwMode="auto">
                    <a:xfrm>
                      <a:off x="0" y="0"/>
                      <a:ext cx="1767205"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230ED" w:rsidRDefault="007230ED">
      <w:pPr>
        <w:pBdr>
          <w:bottom w:val="single" w:sz="8" w:space="0" w:color="B8860B"/>
        </w:pBdr>
        <w:rPr>
          <w:rFonts w:ascii="Times New Roman" w:hAnsi="Times New Roman" w:cs="Times New Roman"/>
          <w:color w:val="auto"/>
        </w:rPr>
      </w:pPr>
    </w:p>
    <w:p w:rsidR="003A7CA0" w:rsidRDefault="003A7CA0">
      <w:pPr>
        <w:pBdr>
          <w:bottom w:val="single" w:sz="8" w:space="0" w:color="B8860B"/>
        </w:pBdr>
        <w:rPr>
          <w:rFonts w:ascii="Times New Roman" w:hAnsi="Times New Roman" w:cs="Times New Roman"/>
          <w:color w:val="auto"/>
        </w:rPr>
      </w:pPr>
    </w:p>
    <w:p w:rsidR="003A7CA0" w:rsidRDefault="003A7CA0">
      <w:pPr>
        <w:pBdr>
          <w:bottom w:val="single" w:sz="8" w:space="0" w:color="B8860B"/>
        </w:pBdr>
        <w:rPr>
          <w:rFonts w:ascii="Times New Roman" w:hAnsi="Times New Roman" w:cs="Times New Roman"/>
          <w:color w:val="auto"/>
        </w:rPr>
      </w:pPr>
    </w:p>
    <w:p w:rsidR="003A7CA0" w:rsidRDefault="003A7CA0">
      <w:pPr>
        <w:pBdr>
          <w:bottom w:val="single" w:sz="8" w:space="0" w:color="B8860B"/>
        </w:pBdr>
        <w:rPr>
          <w:rFonts w:ascii="Times New Roman" w:hAnsi="Times New Roman" w:cs="Times New Roman"/>
          <w:color w:val="auto"/>
        </w:rPr>
      </w:pPr>
    </w:p>
    <w:p w:rsidR="003A7CA0" w:rsidRDefault="003A7CA0">
      <w:pPr>
        <w:pBdr>
          <w:bottom w:val="single" w:sz="8" w:space="0" w:color="B8860B"/>
        </w:pBdr>
        <w:rPr>
          <w:rFonts w:ascii="Times New Roman" w:hAnsi="Times New Roman" w:cs="Times New Roman"/>
          <w:color w:val="auto"/>
        </w:rPr>
      </w:pPr>
    </w:p>
    <w:p w:rsidR="003A7CA0" w:rsidRPr="00F30F55" w:rsidRDefault="003A7CA0">
      <w:pPr>
        <w:pBdr>
          <w:bottom w:val="single" w:sz="8" w:space="0" w:color="B8860B"/>
        </w:pBdr>
        <w:rPr>
          <w:rFonts w:ascii="Times New Roman" w:hAnsi="Times New Roman" w:cs="Times New Roman"/>
          <w:color w:val="auto"/>
        </w:rPr>
      </w:pPr>
    </w:p>
    <w:p w:rsidR="007230ED" w:rsidRPr="00F30F55" w:rsidRDefault="007230ED">
      <w:pPr>
        <w:spacing w:before="60" w:after="60"/>
        <w:rPr>
          <w:rFonts w:ascii="Times New Roman" w:hAnsi="Times New Roman" w:cs="Times New Roman"/>
          <w:color w:val="auto"/>
        </w:rPr>
      </w:pPr>
    </w:p>
    <w:p w:rsidR="007230ED" w:rsidRPr="00F30F55" w:rsidRDefault="00175B50">
      <w:pPr>
        <w:spacing w:after="60"/>
        <w:jc w:val="center"/>
        <w:rPr>
          <w:rFonts w:ascii="Times New Roman" w:hAnsi="Times New Roman" w:cs="Times New Roman"/>
          <w:color w:val="auto"/>
        </w:rPr>
      </w:pPr>
      <w:r>
        <w:rPr>
          <w:rFonts w:ascii="Times New Roman" w:hAnsi="Times New Roman" w:cs="Times New Roman"/>
          <w:i/>
          <w:iCs/>
          <w:color w:val="auto"/>
          <w:sz w:val="28"/>
          <w:szCs w:val="28"/>
        </w:rPr>
        <w:t>Theme</w:t>
      </w:r>
      <w:r w:rsidR="00000000" w:rsidRPr="00F30F55">
        <w:rPr>
          <w:rFonts w:ascii="Times New Roman" w:hAnsi="Times New Roman" w:cs="Times New Roman"/>
          <w:i/>
          <w:iCs/>
          <w:color w:val="auto"/>
          <w:sz w:val="28"/>
          <w:szCs w:val="28"/>
        </w:rPr>
        <w:t>“Strengthening Sociology and Anthropology in Eastern Africa:</w:t>
      </w:r>
    </w:p>
    <w:p w:rsidR="007230ED" w:rsidRPr="00F30F55" w:rsidRDefault="00000000">
      <w:pPr>
        <w:spacing w:after="60"/>
        <w:jc w:val="center"/>
        <w:rPr>
          <w:rFonts w:ascii="Times New Roman" w:hAnsi="Times New Roman" w:cs="Times New Roman"/>
          <w:color w:val="auto"/>
        </w:rPr>
      </w:pPr>
      <w:r w:rsidRPr="00F30F55">
        <w:rPr>
          <w:rFonts w:ascii="Times New Roman" w:hAnsi="Times New Roman" w:cs="Times New Roman"/>
          <w:i/>
          <w:iCs/>
          <w:color w:val="auto"/>
          <w:sz w:val="28"/>
          <w:szCs w:val="28"/>
        </w:rPr>
        <w:t>Building Professional Identity, Networks and Social Relevance”</w:t>
      </w:r>
    </w:p>
    <w:p w:rsidR="007230ED" w:rsidRPr="00F30F55" w:rsidRDefault="007230ED">
      <w:pPr>
        <w:pBdr>
          <w:bottom w:val="single" w:sz="8" w:space="0" w:color="B8860B"/>
        </w:pBdr>
        <w:rPr>
          <w:rFonts w:ascii="Times New Roman" w:hAnsi="Times New Roman" w:cs="Times New Roman"/>
          <w:color w:val="auto"/>
        </w:rPr>
      </w:pPr>
    </w:p>
    <w:p w:rsidR="007230ED" w:rsidRPr="00F30F55" w:rsidRDefault="007230ED">
      <w:pPr>
        <w:spacing w:before="80" w:after="80"/>
        <w:rPr>
          <w:rFonts w:ascii="Times New Roman" w:hAnsi="Times New Roman" w:cs="Times New Roman"/>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30F55" w:rsidRPr="00F30F55">
        <w:tc>
          <w:tcPr>
            <w:tcW w:w="9360" w:type="dxa"/>
            <w:tcBorders>
              <w:top w:val="single" w:sz="6" w:space="0" w:color="1A5632"/>
              <w:left w:val="single" w:sz="6" w:space="0" w:color="1A5632"/>
              <w:bottom w:val="single" w:sz="6" w:space="0" w:color="1A5632"/>
              <w:right w:val="single" w:sz="6" w:space="0" w:color="1A5632"/>
            </w:tcBorders>
            <w:shd w:val="clear" w:color="auto" w:fill="D6EAE0"/>
            <w:tcMar>
              <w:top w:w="160" w:type="dxa"/>
              <w:left w:w="200" w:type="dxa"/>
              <w:bottom w:w="160" w:type="dxa"/>
              <w:right w:w="200" w:type="dxa"/>
            </w:tcMar>
            <w:vAlign w:val="center"/>
          </w:tcPr>
          <w:p w:rsidR="007230ED" w:rsidRPr="00F30F55" w:rsidRDefault="00000000">
            <w:pPr>
              <w:spacing w:after="40"/>
              <w:jc w:val="center"/>
              <w:rPr>
                <w:rFonts w:ascii="Times New Roman" w:hAnsi="Times New Roman" w:cs="Times New Roman"/>
                <w:color w:val="auto"/>
              </w:rPr>
            </w:pPr>
            <w:r w:rsidRPr="00F30F55">
              <w:rPr>
                <w:rFonts w:ascii="Times New Roman" w:hAnsi="Times New Roman" w:cs="Times New Roman"/>
                <w:b/>
                <w:bCs/>
                <w:color w:val="auto"/>
                <w:sz w:val="24"/>
                <w:szCs w:val="24"/>
              </w:rPr>
              <w:t>29–30 September 2026  |  Makerere University, Kampala, Uganda</w:t>
            </w:r>
          </w:p>
          <w:p w:rsidR="007230ED" w:rsidRPr="00F30F55" w:rsidRDefault="00000000">
            <w:pPr>
              <w:jc w:val="center"/>
              <w:rPr>
                <w:rFonts w:ascii="Times New Roman" w:hAnsi="Times New Roman" w:cs="Times New Roman"/>
                <w:color w:val="auto"/>
              </w:rPr>
            </w:pPr>
            <w:r w:rsidRPr="00F30F55">
              <w:rPr>
                <w:rFonts w:ascii="Times New Roman" w:hAnsi="Times New Roman" w:cs="Times New Roman"/>
                <w:i/>
                <w:iCs/>
                <w:color w:val="auto"/>
                <w:sz w:val="20"/>
                <w:szCs w:val="20"/>
              </w:rPr>
              <w:t>Organised by the Uganda Sociological and Anthropological Association (USAA) with support of the International Sociological Association (ISA)</w:t>
            </w:r>
          </w:p>
        </w:tc>
      </w:tr>
    </w:tbl>
    <w:p w:rsidR="007230ED" w:rsidRPr="00F30F55" w:rsidRDefault="007230ED">
      <w:pPr>
        <w:spacing w:before="200" w:after="80"/>
        <w:rPr>
          <w:rFonts w:ascii="Times New Roman" w:hAnsi="Times New Roman" w:cs="Times New Roman"/>
          <w:color w:val="auto"/>
        </w:rPr>
      </w:pPr>
    </w:p>
    <w:p w:rsidR="007230ED" w:rsidRPr="003A7CA0" w:rsidRDefault="00000000">
      <w:pPr>
        <w:spacing w:after="40"/>
        <w:jc w:val="center"/>
        <w:rPr>
          <w:rFonts w:ascii="Times New Roman" w:hAnsi="Times New Roman" w:cs="Times New Roman"/>
          <w:color w:val="auto"/>
          <w:sz w:val="24"/>
          <w:szCs w:val="24"/>
        </w:rPr>
      </w:pPr>
      <w:r w:rsidRPr="003A7CA0">
        <w:rPr>
          <w:rFonts w:ascii="Times New Roman" w:hAnsi="Times New Roman" w:cs="Times New Roman"/>
          <w:b/>
          <w:bCs/>
          <w:caps/>
          <w:color w:val="auto"/>
          <w:sz w:val="24"/>
          <w:szCs w:val="24"/>
        </w:rPr>
        <w:t>DETAILED SYMPOSIUM PLAN</w:t>
      </w:r>
    </w:p>
    <w:p w:rsidR="007230ED" w:rsidRPr="00F30F55" w:rsidRDefault="007230ED" w:rsidP="00E527F5">
      <w:pPr>
        <w:spacing w:before="60" w:after="60"/>
        <w:jc w:val="both"/>
        <w:rPr>
          <w:rFonts w:ascii="Times New Roman" w:hAnsi="Times New Roman" w:cs="Times New Roman"/>
          <w:color w:val="auto"/>
        </w:rPr>
      </w:pPr>
    </w:p>
    <w:p w:rsidR="007230ED" w:rsidRPr="00F30F55" w:rsidRDefault="00175B50" w:rsidP="00F6640F">
      <w:pPr>
        <w:pStyle w:val="Heading1"/>
        <w:spacing w:before="0" w:after="0"/>
        <w:rPr>
          <w:rFonts w:ascii="Times New Roman" w:hAnsi="Times New Roman" w:cs="Times New Roman"/>
          <w:color w:val="auto"/>
        </w:rPr>
      </w:pPr>
      <w:r>
        <w:rPr>
          <w:rFonts w:ascii="Times New Roman" w:hAnsi="Times New Roman" w:cs="Times New Roman"/>
          <w:color w:val="auto"/>
        </w:rPr>
        <w:t>1</w:t>
      </w:r>
      <w:r w:rsidR="00000000" w:rsidRPr="00F30F55">
        <w:rPr>
          <w:rFonts w:ascii="Times New Roman" w:hAnsi="Times New Roman" w:cs="Times New Roman"/>
          <w:color w:val="auto"/>
        </w:rPr>
        <w:t>.  Symposium at a Glance</w:t>
      </w:r>
    </w:p>
    <w:p w:rsidR="007230ED" w:rsidRPr="00F30F55" w:rsidRDefault="007230ED" w:rsidP="00F6640F">
      <w:pPr>
        <w:rPr>
          <w:rFonts w:ascii="Times New Roman" w:hAnsi="Times New Roman" w:cs="Times New Roman"/>
          <w:color w:val="auto"/>
        </w:rPr>
      </w:pPr>
    </w:p>
    <w:tbl>
      <w:tblPr>
        <w:tblStyle w:val="TableGrid"/>
        <w:tblW w:w="9360" w:type="dxa"/>
        <w:tblLook w:val="04A0" w:firstRow="1" w:lastRow="0" w:firstColumn="1" w:lastColumn="0" w:noHBand="0" w:noVBand="1"/>
      </w:tblPr>
      <w:tblGrid>
        <w:gridCol w:w="2600"/>
        <w:gridCol w:w="6760"/>
      </w:tblGrid>
      <w:tr w:rsidR="00F30F55" w:rsidRPr="00F30F55" w:rsidTr="00E527F5">
        <w:tc>
          <w:tcPr>
            <w:tcW w:w="2600" w:type="dxa"/>
          </w:tcPr>
          <w:p w:rsidR="007230ED" w:rsidRPr="00F30F55" w:rsidRDefault="00000000" w:rsidP="00F6640F">
            <w:pPr>
              <w:rPr>
                <w:rFonts w:ascii="Times New Roman" w:hAnsi="Times New Roman" w:cs="Times New Roman"/>
                <w:color w:val="auto"/>
              </w:rPr>
            </w:pPr>
            <w:r w:rsidRPr="00F30F55">
              <w:rPr>
                <w:rFonts w:ascii="Times New Roman" w:hAnsi="Times New Roman" w:cs="Times New Roman"/>
                <w:b/>
                <w:bCs/>
                <w:color w:val="auto"/>
                <w:sz w:val="20"/>
                <w:szCs w:val="20"/>
              </w:rPr>
              <w:t>Event</w:t>
            </w:r>
          </w:p>
        </w:tc>
        <w:tc>
          <w:tcPr>
            <w:tcW w:w="6760" w:type="dxa"/>
          </w:tcPr>
          <w:p w:rsidR="007230ED" w:rsidRPr="00F30F55" w:rsidRDefault="00000000" w:rsidP="00F6640F">
            <w:pPr>
              <w:rPr>
                <w:rFonts w:ascii="Times New Roman" w:hAnsi="Times New Roman" w:cs="Times New Roman"/>
                <w:color w:val="auto"/>
              </w:rPr>
            </w:pPr>
            <w:r w:rsidRPr="00F30F55">
              <w:rPr>
                <w:rFonts w:ascii="Times New Roman" w:hAnsi="Times New Roman" w:cs="Times New Roman"/>
                <w:color w:val="auto"/>
                <w:sz w:val="20"/>
                <w:szCs w:val="20"/>
              </w:rPr>
              <w:t>East African Regional Sociology and Anthropology Symposium 2026</w:t>
            </w:r>
          </w:p>
        </w:tc>
      </w:tr>
      <w:tr w:rsidR="00F30F55" w:rsidRPr="00F30F55" w:rsidTr="00E527F5">
        <w:tc>
          <w:tcPr>
            <w:tcW w:w="2600" w:type="dxa"/>
          </w:tcPr>
          <w:p w:rsidR="007230ED" w:rsidRPr="00F30F55" w:rsidRDefault="00000000" w:rsidP="00F6640F">
            <w:pPr>
              <w:rPr>
                <w:rFonts w:ascii="Times New Roman" w:hAnsi="Times New Roman" w:cs="Times New Roman"/>
                <w:color w:val="auto"/>
              </w:rPr>
            </w:pPr>
            <w:r w:rsidRPr="00F30F55">
              <w:rPr>
                <w:rFonts w:ascii="Times New Roman" w:hAnsi="Times New Roman" w:cs="Times New Roman"/>
                <w:b/>
                <w:bCs/>
                <w:color w:val="auto"/>
                <w:sz w:val="20"/>
                <w:szCs w:val="20"/>
              </w:rPr>
              <w:t>Theme</w:t>
            </w:r>
          </w:p>
        </w:tc>
        <w:tc>
          <w:tcPr>
            <w:tcW w:w="6760" w:type="dxa"/>
          </w:tcPr>
          <w:p w:rsidR="007230ED" w:rsidRPr="00F30F55" w:rsidRDefault="00000000" w:rsidP="00F6640F">
            <w:pPr>
              <w:rPr>
                <w:rFonts w:ascii="Times New Roman" w:hAnsi="Times New Roman" w:cs="Times New Roman"/>
                <w:color w:val="auto"/>
              </w:rPr>
            </w:pPr>
            <w:r w:rsidRPr="00F30F55">
              <w:rPr>
                <w:rFonts w:ascii="Times New Roman" w:hAnsi="Times New Roman" w:cs="Times New Roman"/>
                <w:color w:val="auto"/>
                <w:sz w:val="20"/>
                <w:szCs w:val="20"/>
              </w:rPr>
              <w:t>“Strengthening Sociology and Anthropology in Eastern Africa: Building Professional Identity, Networks and Social Relevance”</w:t>
            </w:r>
          </w:p>
        </w:tc>
      </w:tr>
      <w:tr w:rsidR="00F30F55" w:rsidRPr="00F30F55" w:rsidTr="00E527F5">
        <w:tc>
          <w:tcPr>
            <w:tcW w:w="260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0"/>
                <w:szCs w:val="20"/>
              </w:rPr>
              <w:t>Dates</w:t>
            </w:r>
          </w:p>
        </w:tc>
        <w:tc>
          <w:tcPr>
            <w:tcW w:w="6760" w:type="dxa"/>
          </w:tcPr>
          <w:p w:rsidR="007230ED" w:rsidRPr="00F30F55" w:rsidRDefault="00000000">
            <w:pPr>
              <w:rPr>
                <w:rFonts w:ascii="Times New Roman" w:hAnsi="Times New Roman" w:cs="Times New Roman"/>
                <w:color w:val="auto"/>
              </w:rPr>
            </w:pPr>
            <w:r w:rsidRPr="00F30F55">
              <w:rPr>
                <w:rFonts w:ascii="Times New Roman" w:hAnsi="Times New Roman" w:cs="Times New Roman"/>
                <w:color w:val="auto"/>
                <w:sz w:val="20"/>
                <w:szCs w:val="20"/>
              </w:rPr>
              <w:t>29–30 September 2026</w:t>
            </w:r>
          </w:p>
        </w:tc>
      </w:tr>
      <w:tr w:rsidR="00F30F55" w:rsidRPr="00F30F55" w:rsidTr="00E527F5">
        <w:tc>
          <w:tcPr>
            <w:tcW w:w="260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0"/>
                <w:szCs w:val="20"/>
              </w:rPr>
              <w:t>Venue</w:t>
            </w:r>
          </w:p>
        </w:tc>
        <w:tc>
          <w:tcPr>
            <w:tcW w:w="6760" w:type="dxa"/>
          </w:tcPr>
          <w:p w:rsidR="007230ED" w:rsidRPr="00F30F55" w:rsidRDefault="00000000">
            <w:pPr>
              <w:rPr>
                <w:rFonts w:ascii="Times New Roman" w:hAnsi="Times New Roman" w:cs="Times New Roman"/>
                <w:color w:val="auto"/>
              </w:rPr>
            </w:pPr>
            <w:r w:rsidRPr="00F30F55">
              <w:rPr>
                <w:rFonts w:ascii="Times New Roman" w:hAnsi="Times New Roman" w:cs="Times New Roman"/>
                <w:color w:val="auto"/>
                <w:sz w:val="20"/>
                <w:szCs w:val="20"/>
              </w:rPr>
              <w:t>Makerere University, Kampala, Uganda</w:t>
            </w:r>
          </w:p>
        </w:tc>
      </w:tr>
      <w:tr w:rsidR="00F30F55" w:rsidRPr="00F30F55" w:rsidTr="00E527F5">
        <w:tc>
          <w:tcPr>
            <w:tcW w:w="260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0"/>
                <w:szCs w:val="20"/>
              </w:rPr>
              <w:t>Language</w:t>
            </w:r>
          </w:p>
        </w:tc>
        <w:tc>
          <w:tcPr>
            <w:tcW w:w="6760" w:type="dxa"/>
          </w:tcPr>
          <w:p w:rsidR="007230ED" w:rsidRPr="00F30F55" w:rsidRDefault="00000000">
            <w:pPr>
              <w:rPr>
                <w:rFonts w:ascii="Times New Roman" w:hAnsi="Times New Roman" w:cs="Times New Roman"/>
                <w:color w:val="auto"/>
              </w:rPr>
            </w:pPr>
            <w:r w:rsidRPr="00F30F55">
              <w:rPr>
                <w:rFonts w:ascii="Times New Roman" w:hAnsi="Times New Roman" w:cs="Times New Roman"/>
                <w:color w:val="auto"/>
                <w:sz w:val="20"/>
                <w:szCs w:val="20"/>
              </w:rPr>
              <w:t>English</w:t>
            </w:r>
          </w:p>
        </w:tc>
      </w:tr>
      <w:tr w:rsidR="00F30F55" w:rsidRPr="00F30F55" w:rsidTr="00E527F5">
        <w:tc>
          <w:tcPr>
            <w:tcW w:w="260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0"/>
                <w:szCs w:val="20"/>
              </w:rPr>
              <w:t>Format</w:t>
            </w:r>
          </w:p>
        </w:tc>
        <w:tc>
          <w:tcPr>
            <w:tcW w:w="6760" w:type="dxa"/>
          </w:tcPr>
          <w:p w:rsidR="007230ED" w:rsidRPr="00F30F55" w:rsidRDefault="00000000">
            <w:pPr>
              <w:rPr>
                <w:rFonts w:ascii="Times New Roman" w:hAnsi="Times New Roman" w:cs="Times New Roman"/>
                <w:color w:val="auto"/>
              </w:rPr>
            </w:pPr>
            <w:r w:rsidRPr="00F30F55">
              <w:rPr>
                <w:rFonts w:ascii="Times New Roman" w:hAnsi="Times New Roman" w:cs="Times New Roman"/>
                <w:color w:val="auto"/>
                <w:sz w:val="20"/>
                <w:szCs w:val="20"/>
              </w:rPr>
              <w:t>In-person with online participation option for presenters outside Uganda</w:t>
            </w:r>
          </w:p>
        </w:tc>
      </w:tr>
      <w:tr w:rsidR="00F30F55" w:rsidRPr="00F30F55" w:rsidTr="00E527F5">
        <w:tc>
          <w:tcPr>
            <w:tcW w:w="260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0"/>
                <w:szCs w:val="20"/>
              </w:rPr>
              <w:t>Organiser</w:t>
            </w:r>
          </w:p>
        </w:tc>
        <w:tc>
          <w:tcPr>
            <w:tcW w:w="6760" w:type="dxa"/>
          </w:tcPr>
          <w:p w:rsidR="007230ED" w:rsidRPr="00F30F55" w:rsidRDefault="00000000">
            <w:pPr>
              <w:rPr>
                <w:rFonts w:ascii="Times New Roman" w:hAnsi="Times New Roman" w:cs="Times New Roman"/>
                <w:color w:val="auto"/>
              </w:rPr>
            </w:pPr>
            <w:r w:rsidRPr="00F30F55">
              <w:rPr>
                <w:rFonts w:ascii="Times New Roman" w:hAnsi="Times New Roman" w:cs="Times New Roman"/>
                <w:color w:val="auto"/>
                <w:sz w:val="20"/>
                <w:szCs w:val="20"/>
              </w:rPr>
              <w:t>Uganda Sociological and Anthropological Association (USAA)</w:t>
            </w:r>
          </w:p>
        </w:tc>
      </w:tr>
      <w:tr w:rsidR="00F30F55" w:rsidRPr="00F30F55" w:rsidTr="00E527F5">
        <w:tc>
          <w:tcPr>
            <w:tcW w:w="260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0"/>
                <w:szCs w:val="20"/>
              </w:rPr>
              <w:t>Support</w:t>
            </w:r>
          </w:p>
        </w:tc>
        <w:tc>
          <w:tcPr>
            <w:tcW w:w="6760" w:type="dxa"/>
          </w:tcPr>
          <w:p w:rsidR="007230ED" w:rsidRPr="00F30F55" w:rsidRDefault="00000000">
            <w:pPr>
              <w:rPr>
                <w:rFonts w:ascii="Times New Roman" w:hAnsi="Times New Roman" w:cs="Times New Roman"/>
                <w:color w:val="auto"/>
              </w:rPr>
            </w:pPr>
            <w:r w:rsidRPr="00F30F55">
              <w:rPr>
                <w:rFonts w:ascii="Times New Roman" w:hAnsi="Times New Roman" w:cs="Times New Roman"/>
                <w:color w:val="auto"/>
                <w:sz w:val="20"/>
                <w:szCs w:val="20"/>
              </w:rPr>
              <w:t>International Sociological Association (ISA)</w:t>
            </w:r>
          </w:p>
        </w:tc>
      </w:tr>
      <w:tr w:rsidR="00F30F55" w:rsidRPr="00F30F55" w:rsidTr="00E527F5">
        <w:tc>
          <w:tcPr>
            <w:tcW w:w="260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0"/>
                <w:szCs w:val="20"/>
              </w:rPr>
              <w:t>Contact</w:t>
            </w:r>
          </w:p>
        </w:tc>
        <w:tc>
          <w:tcPr>
            <w:tcW w:w="6760" w:type="dxa"/>
          </w:tcPr>
          <w:p w:rsidR="007230ED" w:rsidRPr="00F30F55" w:rsidRDefault="00000000">
            <w:pPr>
              <w:rPr>
                <w:rFonts w:ascii="Times New Roman" w:hAnsi="Times New Roman" w:cs="Times New Roman"/>
                <w:color w:val="auto"/>
              </w:rPr>
            </w:pPr>
            <w:r w:rsidRPr="00F30F55">
              <w:rPr>
                <w:rFonts w:ascii="Times New Roman" w:hAnsi="Times New Roman" w:cs="Times New Roman"/>
                <w:color w:val="auto"/>
                <w:sz w:val="20"/>
                <w:szCs w:val="20"/>
              </w:rPr>
              <w:t xml:space="preserve">Dr. Christine Kulabako (General Secretary, USAA) </w:t>
            </w:r>
            <w:hyperlink r:id="rId8" w:history="1">
              <w:r w:rsidR="00E527F5" w:rsidRPr="00F30F55">
                <w:rPr>
                  <w:rStyle w:val="Hyperlink"/>
                  <w:rFonts w:ascii="Times New Roman" w:hAnsi="Times New Roman" w:cs="Times New Roman"/>
                  <w:color w:val="auto"/>
                  <w:sz w:val="20"/>
                  <w:szCs w:val="20"/>
                </w:rPr>
                <w:t>info@usaaug.org</w:t>
              </w:r>
            </w:hyperlink>
            <w:r w:rsidR="00E527F5" w:rsidRPr="00F30F55">
              <w:rPr>
                <w:rFonts w:ascii="Times New Roman" w:hAnsi="Times New Roman" w:cs="Times New Roman"/>
                <w:color w:val="auto"/>
                <w:sz w:val="20"/>
                <w:szCs w:val="20"/>
              </w:rPr>
              <w:t xml:space="preserve"> </w:t>
            </w:r>
            <w:r w:rsidRPr="00F30F55">
              <w:rPr>
                <w:rFonts w:ascii="Times New Roman" w:hAnsi="Times New Roman" w:cs="Times New Roman"/>
                <w:color w:val="auto"/>
                <w:sz w:val="20"/>
                <w:szCs w:val="20"/>
              </w:rPr>
              <w:t xml:space="preserve">  |  +256 779 688 004</w:t>
            </w:r>
          </w:p>
        </w:tc>
      </w:tr>
    </w:tbl>
    <w:p w:rsidR="00175B50" w:rsidRDefault="00175B50" w:rsidP="00175B50">
      <w:pPr>
        <w:spacing w:before="40" w:after="40"/>
        <w:jc w:val="both"/>
        <w:rPr>
          <w:rFonts w:ascii="Times New Roman" w:hAnsi="Times New Roman" w:cs="Times New Roman"/>
          <w:color w:val="auto"/>
        </w:rPr>
      </w:pPr>
    </w:p>
    <w:p w:rsidR="00175B50" w:rsidRPr="00F30F55" w:rsidRDefault="00175B50" w:rsidP="00175B50">
      <w:pPr>
        <w:pStyle w:val="Heading1"/>
        <w:spacing w:before="0" w:after="0"/>
        <w:rPr>
          <w:rFonts w:ascii="Times New Roman" w:hAnsi="Times New Roman" w:cs="Times New Roman"/>
          <w:color w:val="auto"/>
        </w:rPr>
      </w:pPr>
      <w:r>
        <w:rPr>
          <w:rFonts w:ascii="Times New Roman" w:hAnsi="Times New Roman" w:cs="Times New Roman"/>
          <w:color w:val="auto"/>
        </w:rPr>
        <w:t>2</w:t>
      </w:r>
      <w:r w:rsidRPr="00F30F55">
        <w:rPr>
          <w:rFonts w:ascii="Times New Roman" w:hAnsi="Times New Roman" w:cs="Times New Roman"/>
          <w:color w:val="auto"/>
        </w:rPr>
        <w:t xml:space="preserve">.  </w:t>
      </w:r>
      <w:r>
        <w:rPr>
          <w:rFonts w:ascii="Times New Roman" w:hAnsi="Times New Roman" w:cs="Times New Roman"/>
          <w:color w:val="auto"/>
        </w:rPr>
        <w:t>Summarised</w:t>
      </w:r>
      <w:r w:rsidRPr="00F30F55">
        <w:rPr>
          <w:rFonts w:ascii="Times New Roman" w:hAnsi="Times New Roman" w:cs="Times New Roman"/>
          <w:color w:val="auto"/>
        </w:rPr>
        <w:t xml:space="preserve"> Programme Schedule</w:t>
      </w:r>
    </w:p>
    <w:p w:rsidR="00175B50" w:rsidRDefault="00175B50" w:rsidP="00175B50">
      <w:pPr>
        <w:rPr>
          <w:rFonts w:ascii="Times New Roman" w:hAnsi="Times New Roman" w:cs="Times New Roman"/>
          <w:color w:val="auto"/>
        </w:rPr>
      </w:pPr>
      <w:r w:rsidRPr="00F30F55">
        <w:rPr>
          <w:rFonts w:ascii="Times New Roman" w:hAnsi="Times New Roman" w:cs="Times New Roman"/>
          <w:color w:val="auto"/>
        </w:rPr>
        <w:t>All sessions are held in plenary mode. Times indicated are East Africa Time (EAT, UTC+3).</w:t>
      </w:r>
    </w:p>
    <w:p w:rsidR="00175B50" w:rsidRPr="00F30F55" w:rsidRDefault="00175B50" w:rsidP="00175B50">
      <w:pPr>
        <w:rPr>
          <w:rFonts w:ascii="Times New Roman" w:hAnsi="Times New Roman" w:cs="Times New Roman"/>
          <w:color w:val="auto"/>
        </w:rPr>
      </w:pPr>
    </w:p>
    <w:p w:rsidR="00175B50" w:rsidRPr="00F30F55" w:rsidRDefault="00175B50" w:rsidP="00175B50">
      <w:pPr>
        <w:pStyle w:val="Heading2"/>
        <w:spacing w:before="0" w:after="0"/>
        <w:rPr>
          <w:rFonts w:ascii="Times New Roman" w:hAnsi="Times New Roman" w:cs="Times New Roman"/>
          <w:color w:val="auto"/>
        </w:rPr>
      </w:pPr>
      <w:r w:rsidRPr="00F30F55">
        <w:rPr>
          <w:rFonts w:ascii="Times New Roman" w:hAnsi="Times New Roman" w:cs="Times New Roman"/>
          <w:color w:val="auto"/>
        </w:rPr>
        <w:t>Day 1  |  Tuesday, 29 September 2026</w:t>
      </w:r>
    </w:p>
    <w:p w:rsidR="00175B50" w:rsidRPr="00F30F55" w:rsidRDefault="00175B50" w:rsidP="00175B50">
      <w:pPr>
        <w:rPr>
          <w:rFonts w:ascii="Times New Roman" w:hAnsi="Times New Roman" w:cs="Times New Roman"/>
          <w:color w:val="auto"/>
        </w:rPr>
      </w:pPr>
    </w:p>
    <w:tbl>
      <w:tblPr>
        <w:tblStyle w:val="TableGrid"/>
        <w:tblW w:w="9360" w:type="dxa"/>
        <w:tblLook w:val="04A0" w:firstRow="1" w:lastRow="0" w:firstColumn="1" w:lastColumn="0" w:noHBand="0" w:noVBand="1"/>
      </w:tblPr>
      <w:tblGrid>
        <w:gridCol w:w="1800"/>
        <w:gridCol w:w="7560"/>
      </w:tblGrid>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rPr>
              <w:t>Time (EAT)</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rPr>
              <w:t>Activity</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08:00 – 09:00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 xml:space="preserve">Arrival and Registration </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09:00 – 09:15</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Welcome Remarks: USAA President</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09:15 – 09:30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Welcome Remarks: Dean/Head, Department of Sociology and Anthropology, Makerere University</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09:30 – 09:45</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Remarks by ISA Representative</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09:45 – 10:30</w:t>
            </w:r>
          </w:p>
        </w:tc>
        <w:tc>
          <w:tcPr>
            <w:tcW w:w="7560" w:type="dxa"/>
          </w:tcPr>
          <w:p w:rsidR="00175B50" w:rsidRPr="00F30F55" w:rsidRDefault="00175B50" w:rsidP="00ED7EB7">
            <w:pPr>
              <w:rPr>
                <w:rFonts w:ascii="Times New Roman" w:hAnsi="Times New Roman" w:cs="Times New Roman"/>
                <w:color w:val="auto"/>
              </w:rPr>
            </w:pPr>
            <w:r w:rsidRPr="00A067BC">
              <w:rPr>
                <w:rFonts w:ascii="Times New Roman" w:hAnsi="Times New Roman" w:cs="Times New Roman"/>
                <w:b/>
                <w:bCs/>
                <w:color w:val="auto"/>
                <w:sz w:val="20"/>
                <w:szCs w:val="20"/>
                <w:highlight w:val="yellow"/>
              </w:rPr>
              <w:t>KEYNOTE ADDRESS:</w:t>
            </w:r>
            <w:r w:rsidRPr="00A067BC">
              <w:rPr>
                <w:rFonts w:ascii="Times New Roman" w:hAnsi="Times New Roman" w:cs="Times New Roman"/>
                <w:color w:val="auto"/>
                <w:sz w:val="20"/>
                <w:szCs w:val="20"/>
                <w:highlight w:val="yellow"/>
              </w:rPr>
              <w:t xml:space="preserve"> “Where Do We Stand? Sociology and Anthropology in Eastern Africa’s Development Landscape”</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10:30 – 11:00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Open Q&amp;A on Keynote</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11:00 – 11:20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Tea / Coffee Break</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lastRenderedPageBreak/>
              <w:t>11:20 – 11:30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Introduction to Sub-Themes and Symposium Ground Rules</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11:30 – 13:30</w:t>
            </w:r>
          </w:p>
        </w:tc>
        <w:tc>
          <w:tcPr>
            <w:tcW w:w="7560" w:type="dxa"/>
          </w:tcPr>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b/>
                <w:bCs/>
                <w:color w:val="auto"/>
                <w:sz w:val="20"/>
                <w:szCs w:val="20"/>
              </w:rPr>
              <w:t>SUB-THEME A SESSION:</w:t>
            </w:r>
            <w:r w:rsidRPr="00F30F55">
              <w:rPr>
                <w:rFonts w:ascii="Times New Roman" w:hAnsi="Times New Roman" w:cs="Times New Roman"/>
                <w:color w:val="auto"/>
                <w:sz w:val="20"/>
                <w:szCs w:val="20"/>
              </w:rPr>
              <w:t xml:space="preserve"> </w:t>
            </w:r>
            <w:r w:rsidRPr="00175B50">
              <w:rPr>
                <w:rFonts w:ascii="Times New Roman" w:hAnsi="Times New Roman" w:cs="Times New Roman"/>
                <w:b/>
                <w:bCs/>
                <w:color w:val="auto"/>
                <w:sz w:val="20"/>
                <w:szCs w:val="20"/>
              </w:rPr>
              <w:t>Professional Identity</w:t>
            </w:r>
            <w:r w:rsidRPr="00F30F55">
              <w:rPr>
                <w:rFonts w:ascii="Times New Roman" w:hAnsi="Times New Roman" w:cs="Times New Roman"/>
                <w:color w:val="auto"/>
                <w:sz w:val="20"/>
                <w:szCs w:val="20"/>
              </w:rPr>
              <w:t xml:space="preserve"> </w:t>
            </w:r>
          </w:p>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A1: Naming the Discipline (30 min) </w:t>
            </w:r>
          </w:p>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A2: Curriculum, Accreditation and Standards (30 min) </w:t>
            </w:r>
          </w:p>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w:t>
            </w:r>
            <w:r w:rsidRPr="00175B50">
              <w:rPr>
                <w:rFonts w:ascii="Times New Roman" w:hAnsi="Times New Roman" w:cs="Times New Roman"/>
                <w:color w:val="auto"/>
                <w:sz w:val="20"/>
                <w:szCs w:val="20"/>
                <w:shd w:val="clear" w:color="auto" w:fill="FFD966" w:themeFill="accent4" w:themeFillTint="99"/>
              </w:rPr>
              <w:t>A3: Decolonising the Canon (30 min)</w:t>
            </w:r>
            <w:r w:rsidRPr="00F30F55">
              <w:rPr>
                <w:rFonts w:ascii="Times New Roman" w:hAnsi="Times New Roman" w:cs="Times New Roman"/>
                <w:color w:val="auto"/>
                <w:sz w:val="20"/>
                <w:szCs w:val="20"/>
              </w:rPr>
              <w:t xml:space="preserve"> </w:t>
            </w:r>
            <w:r>
              <w:rPr>
                <w:rFonts w:ascii="Times New Roman" w:hAnsi="Times New Roman" w:cs="Times New Roman"/>
                <w:color w:val="auto"/>
                <w:sz w:val="20"/>
                <w:szCs w:val="20"/>
              </w:rPr>
              <w:t>(A</w:t>
            </w:r>
          </w:p>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 Plenary Discussion (30 min)</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13:30 – 14:30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Lunch Break</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14:30 – 16:30</w:t>
            </w:r>
          </w:p>
        </w:tc>
        <w:tc>
          <w:tcPr>
            <w:tcW w:w="7560" w:type="dxa"/>
          </w:tcPr>
          <w:p w:rsidR="00175B50" w:rsidRDefault="00175B50" w:rsidP="00ED7EB7">
            <w:pPr>
              <w:rPr>
                <w:rFonts w:ascii="Times New Roman" w:hAnsi="Times New Roman" w:cs="Times New Roman"/>
                <w:color w:val="auto"/>
                <w:sz w:val="20"/>
                <w:szCs w:val="20"/>
              </w:rPr>
            </w:pPr>
            <w:r w:rsidRPr="00F30F55">
              <w:rPr>
                <w:rFonts w:ascii="Times New Roman" w:hAnsi="Times New Roman" w:cs="Times New Roman"/>
                <w:b/>
                <w:bCs/>
                <w:color w:val="auto"/>
                <w:sz w:val="20"/>
                <w:szCs w:val="20"/>
              </w:rPr>
              <w:t>SUB-THEME B SESSION:</w:t>
            </w:r>
            <w:r w:rsidRPr="00F30F55">
              <w:rPr>
                <w:rFonts w:ascii="Times New Roman" w:hAnsi="Times New Roman" w:cs="Times New Roman"/>
                <w:color w:val="auto"/>
                <w:sz w:val="20"/>
                <w:szCs w:val="20"/>
              </w:rPr>
              <w:t xml:space="preserve"> </w:t>
            </w:r>
            <w:r w:rsidRPr="00175B50">
              <w:rPr>
                <w:rFonts w:ascii="Times New Roman" w:hAnsi="Times New Roman" w:cs="Times New Roman"/>
                <w:b/>
                <w:bCs/>
                <w:color w:val="auto"/>
                <w:sz w:val="20"/>
                <w:szCs w:val="20"/>
              </w:rPr>
              <w:t xml:space="preserve">Networks </w:t>
            </w:r>
          </w:p>
          <w:p w:rsidR="00175B50"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B1: Cross-National Research Collaboration (30 min) </w:t>
            </w:r>
          </w:p>
          <w:p w:rsidR="00175B50"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B2: National Associations in Action (30 min) </w:t>
            </w:r>
          </w:p>
          <w:p w:rsidR="00175B50"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B3: Digital Communities of Practice (30 min) </w:t>
            </w:r>
          </w:p>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 Plenary Discussion (30 min)</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16:30 – 17:00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Day 1 Synthesis and Rapporteur Report</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17:00 – 17:15</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Logistics for Day 2</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19:00 – 21:00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Networking Dinner for Participants (venue to be advised)</w:t>
            </w:r>
          </w:p>
        </w:tc>
      </w:tr>
    </w:tbl>
    <w:p w:rsidR="00175B50" w:rsidRPr="00F30F55" w:rsidRDefault="00175B50" w:rsidP="00175B50">
      <w:pPr>
        <w:rPr>
          <w:rFonts w:ascii="Times New Roman" w:hAnsi="Times New Roman" w:cs="Times New Roman"/>
          <w:color w:val="auto"/>
        </w:rPr>
      </w:pPr>
    </w:p>
    <w:p w:rsidR="00175B50" w:rsidRPr="00F30F55" w:rsidRDefault="00175B50" w:rsidP="00175B50">
      <w:pPr>
        <w:pStyle w:val="Heading2"/>
        <w:spacing w:before="0" w:after="0"/>
        <w:rPr>
          <w:rFonts w:ascii="Times New Roman" w:hAnsi="Times New Roman" w:cs="Times New Roman"/>
          <w:color w:val="auto"/>
        </w:rPr>
      </w:pPr>
      <w:r w:rsidRPr="00F30F55">
        <w:rPr>
          <w:rFonts w:ascii="Times New Roman" w:hAnsi="Times New Roman" w:cs="Times New Roman"/>
          <w:color w:val="auto"/>
        </w:rPr>
        <w:t>Day 2  |  Wednesday, 30 September 2026</w:t>
      </w:r>
    </w:p>
    <w:p w:rsidR="00175B50" w:rsidRPr="00F30F55" w:rsidRDefault="00175B50" w:rsidP="00175B50">
      <w:pPr>
        <w:rPr>
          <w:rFonts w:ascii="Times New Roman" w:hAnsi="Times New Roman" w:cs="Times New Roman"/>
          <w:color w:val="auto"/>
        </w:rPr>
      </w:pPr>
    </w:p>
    <w:tbl>
      <w:tblPr>
        <w:tblStyle w:val="TableGrid"/>
        <w:tblW w:w="9360" w:type="dxa"/>
        <w:tblLook w:val="04A0" w:firstRow="1" w:lastRow="0" w:firstColumn="1" w:lastColumn="0" w:noHBand="0" w:noVBand="1"/>
      </w:tblPr>
      <w:tblGrid>
        <w:gridCol w:w="1800"/>
        <w:gridCol w:w="7560"/>
      </w:tblGrid>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rPr>
              <w:t>Time (EAT)</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rPr>
              <w:t>Activity</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08:30 – 09:00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Morning Tea and Informal Networking</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09:00 – 09:20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Recap of Day 1 Key Messages (Rapporteur)</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09:20 – 11:20</w:t>
            </w:r>
          </w:p>
        </w:tc>
        <w:tc>
          <w:tcPr>
            <w:tcW w:w="7560" w:type="dxa"/>
          </w:tcPr>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b/>
                <w:bCs/>
                <w:color w:val="auto"/>
                <w:sz w:val="20"/>
                <w:szCs w:val="20"/>
              </w:rPr>
              <w:t>SUB-THEME C SESSION:</w:t>
            </w:r>
            <w:r w:rsidRPr="00F30F55">
              <w:rPr>
                <w:rFonts w:ascii="Times New Roman" w:hAnsi="Times New Roman" w:cs="Times New Roman"/>
                <w:color w:val="auto"/>
                <w:sz w:val="20"/>
                <w:szCs w:val="20"/>
              </w:rPr>
              <w:t xml:space="preserve"> </w:t>
            </w:r>
            <w:r w:rsidRPr="00175B50">
              <w:rPr>
                <w:rFonts w:ascii="Times New Roman" w:hAnsi="Times New Roman" w:cs="Times New Roman"/>
                <w:b/>
                <w:bCs/>
                <w:color w:val="auto"/>
                <w:sz w:val="20"/>
                <w:szCs w:val="20"/>
              </w:rPr>
              <w:t>Social Relevance</w:t>
            </w:r>
            <w:r w:rsidRPr="00F30F55">
              <w:rPr>
                <w:rFonts w:ascii="Times New Roman" w:hAnsi="Times New Roman" w:cs="Times New Roman"/>
                <w:color w:val="auto"/>
                <w:sz w:val="20"/>
                <w:szCs w:val="20"/>
              </w:rPr>
              <w:t xml:space="preserve"> </w:t>
            </w:r>
          </w:p>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C1: </w:t>
            </w:r>
            <w:r w:rsidRPr="00175B50">
              <w:rPr>
                <w:rFonts w:ascii="Times New Roman" w:hAnsi="Times New Roman" w:cs="Times New Roman"/>
                <w:color w:val="auto"/>
                <w:sz w:val="20"/>
                <w:szCs w:val="20"/>
              </w:rPr>
              <w:t>Urban Poverty, Informality and the City Peasant (30 min)</w:t>
            </w:r>
            <w:r w:rsidRPr="00175B50">
              <w:rPr>
                <w:rFonts w:ascii="Times New Roman" w:hAnsi="Times New Roman" w:cs="Times New Roman"/>
                <w:color w:val="auto"/>
                <w:sz w:val="20"/>
                <w:szCs w:val="20"/>
                <w:shd w:val="clear" w:color="auto" w:fill="FFC000"/>
              </w:rPr>
              <w:t xml:space="preserve"> </w:t>
            </w:r>
          </w:p>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C2: </w:t>
            </w:r>
            <w:r w:rsidRPr="00175B50">
              <w:rPr>
                <w:rFonts w:ascii="Times New Roman" w:hAnsi="Times New Roman" w:cs="Times New Roman"/>
                <w:color w:val="auto"/>
                <w:sz w:val="20"/>
                <w:szCs w:val="20"/>
                <w:shd w:val="clear" w:color="auto" w:fill="FFC000"/>
              </w:rPr>
              <w:t>Health, Culture and Community (30 min)</w:t>
            </w:r>
            <w:r w:rsidRPr="00F30F55">
              <w:rPr>
                <w:rFonts w:ascii="Times New Roman" w:hAnsi="Times New Roman" w:cs="Times New Roman"/>
                <w:color w:val="auto"/>
                <w:sz w:val="20"/>
                <w:szCs w:val="20"/>
              </w:rPr>
              <w:t xml:space="preserve"> </w:t>
            </w:r>
          </w:p>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C3: </w:t>
            </w:r>
            <w:r w:rsidRPr="00175B50">
              <w:rPr>
                <w:rFonts w:ascii="Times New Roman" w:hAnsi="Times New Roman" w:cs="Times New Roman"/>
                <w:color w:val="auto"/>
                <w:sz w:val="20"/>
                <w:szCs w:val="20"/>
                <w:shd w:val="clear" w:color="auto" w:fill="FFC000"/>
              </w:rPr>
              <w:t>Conflict, Peacebuilding and Social Cohesion (30 min)</w:t>
            </w:r>
            <w:r w:rsidRPr="00F30F55">
              <w:rPr>
                <w:rFonts w:ascii="Times New Roman" w:hAnsi="Times New Roman" w:cs="Times New Roman"/>
                <w:color w:val="auto"/>
                <w:sz w:val="20"/>
                <w:szCs w:val="20"/>
              </w:rPr>
              <w:t xml:space="preserve"> </w:t>
            </w:r>
          </w:p>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 Plenary Discussion (30 min)</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11:20 – 11:40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Tea / Coffee Bre</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11:40 – 12:40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WORKING SESSION:</w:t>
            </w:r>
            <w:r w:rsidRPr="00F30F55">
              <w:rPr>
                <w:rFonts w:ascii="Times New Roman" w:hAnsi="Times New Roman" w:cs="Times New Roman"/>
                <w:color w:val="auto"/>
                <w:sz w:val="20"/>
                <w:szCs w:val="20"/>
              </w:rPr>
              <w:t xml:space="preserve"> Drafting Symposium Recommendations (Participants work in three groups aligned to sub-themes; outputs to be presented in plenary)</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12:40 – 13:15</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Plenary Presentation of Group Recommendations and Discussion</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13:15 – 13:30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Adoption of Symposium Recommendations</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13:30 – 14:30</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Lunch Break</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14:30 – 15:15</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SPECIAL SESSION:</w:t>
            </w:r>
            <w:r w:rsidRPr="00F30F55">
              <w:rPr>
                <w:rFonts w:ascii="Times New Roman" w:hAnsi="Times New Roman" w:cs="Times New Roman"/>
                <w:color w:val="auto"/>
                <w:sz w:val="20"/>
                <w:szCs w:val="20"/>
              </w:rPr>
              <w:t xml:space="preserve"> Publication Planning Arrangements for the USAA Symposium Recommendations document and proposed special issue in African Sociological Review or equivalent</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15:15 – 15:45</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WAY FORWARD:</w:t>
            </w:r>
            <w:r w:rsidRPr="00F30F55">
              <w:rPr>
                <w:rFonts w:ascii="Times New Roman" w:hAnsi="Times New Roman" w:cs="Times New Roman"/>
                <w:color w:val="auto"/>
                <w:sz w:val="20"/>
                <w:szCs w:val="20"/>
              </w:rPr>
              <w:t xml:space="preserve"> Building the Eastern Africa Professional Network Proposed structures, timelines and responsibilities</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15:45 – 16:15</w:t>
            </w:r>
          </w:p>
        </w:tc>
        <w:tc>
          <w:tcPr>
            <w:tcW w:w="7560" w:type="dxa"/>
          </w:tcPr>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b/>
                <w:bCs/>
                <w:color w:val="auto"/>
                <w:sz w:val="20"/>
                <w:szCs w:val="20"/>
              </w:rPr>
              <w:t>CLOSING CEREMONY</w:t>
            </w:r>
            <w:r>
              <w:rPr>
                <w:rFonts w:ascii="Times New Roman" w:hAnsi="Times New Roman" w:cs="Times New Roman"/>
                <w:b/>
                <w:bCs/>
                <w:color w:val="auto"/>
                <w:sz w:val="20"/>
                <w:szCs w:val="20"/>
              </w:rPr>
              <w:t>/NETWORKING EVENT (COCKTAIL)</w:t>
            </w:r>
          </w:p>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Closing Remarks – USAA President </w:t>
            </w:r>
          </w:p>
          <w:p w:rsidR="00175B50" w:rsidRPr="00F30F55" w:rsidRDefault="00175B50" w:rsidP="00ED7EB7">
            <w:pPr>
              <w:rPr>
                <w:rFonts w:ascii="Times New Roman" w:hAnsi="Times New Roman" w:cs="Times New Roman"/>
                <w:color w:val="auto"/>
                <w:sz w:val="20"/>
                <w:szCs w:val="20"/>
              </w:rPr>
            </w:pPr>
            <w:r w:rsidRPr="00F30F55">
              <w:rPr>
                <w:rFonts w:ascii="Times New Roman" w:hAnsi="Times New Roman" w:cs="Times New Roman"/>
                <w:color w:val="auto"/>
                <w:sz w:val="20"/>
                <w:szCs w:val="20"/>
              </w:rPr>
              <w:t xml:space="preserve">• Closing Remarks – Guest of Honour </w:t>
            </w:r>
          </w:p>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 Vote of Thanks</w:t>
            </w:r>
          </w:p>
        </w:tc>
      </w:tr>
      <w:tr w:rsidR="00175B50" w:rsidRPr="00F30F55" w:rsidTr="00ED7EB7">
        <w:tc>
          <w:tcPr>
            <w:tcW w:w="180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b/>
                <w:bCs/>
                <w:color w:val="auto"/>
                <w:sz w:val="20"/>
                <w:szCs w:val="20"/>
              </w:rPr>
              <w:t>16:15</w:t>
            </w:r>
          </w:p>
        </w:tc>
        <w:tc>
          <w:tcPr>
            <w:tcW w:w="7560" w:type="dxa"/>
          </w:tcPr>
          <w:p w:rsidR="00175B50" w:rsidRPr="00F30F55" w:rsidRDefault="00175B50" w:rsidP="00ED7EB7">
            <w:pPr>
              <w:rPr>
                <w:rFonts w:ascii="Times New Roman" w:hAnsi="Times New Roman" w:cs="Times New Roman"/>
                <w:color w:val="auto"/>
              </w:rPr>
            </w:pPr>
            <w:r w:rsidRPr="00F30F55">
              <w:rPr>
                <w:rFonts w:ascii="Times New Roman" w:hAnsi="Times New Roman" w:cs="Times New Roman"/>
                <w:color w:val="auto"/>
                <w:sz w:val="20"/>
                <w:szCs w:val="20"/>
              </w:rPr>
              <w:t>Official Close of Symposium</w:t>
            </w:r>
          </w:p>
        </w:tc>
      </w:tr>
    </w:tbl>
    <w:p w:rsidR="00175B50" w:rsidRDefault="00175B50" w:rsidP="00175B50">
      <w:pPr>
        <w:spacing w:before="40" w:after="40"/>
        <w:jc w:val="both"/>
        <w:rPr>
          <w:rFonts w:ascii="Times New Roman" w:hAnsi="Times New Roman" w:cs="Times New Roman"/>
          <w:color w:val="auto"/>
        </w:rPr>
      </w:pPr>
    </w:p>
    <w:p w:rsidR="007230ED" w:rsidRPr="00F30F55" w:rsidRDefault="00175B50" w:rsidP="00175B50">
      <w:pPr>
        <w:pStyle w:val="Heading1"/>
        <w:spacing w:before="0" w:after="0"/>
        <w:rPr>
          <w:rFonts w:ascii="Times New Roman" w:hAnsi="Times New Roman" w:cs="Times New Roman"/>
          <w:color w:val="auto"/>
        </w:rPr>
      </w:pPr>
      <w:r>
        <w:rPr>
          <w:rFonts w:ascii="Times New Roman" w:hAnsi="Times New Roman" w:cs="Times New Roman"/>
          <w:color w:val="auto"/>
        </w:rPr>
        <w:t>3</w:t>
      </w:r>
      <w:r w:rsidR="00000000" w:rsidRPr="00F30F55">
        <w:rPr>
          <w:rFonts w:ascii="Times New Roman" w:hAnsi="Times New Roman" w:cs="Times New Roman"/>
          <w:color w:val="auto"/>
        </w:rPr>
        <w:t xml:space="preserve">.  </w:t>
      </w:r>
      <w:r>
        <w:rPr>
          <w:rFonts w:ascii="Times New Roman" w:hAnsi="Times New Roman" w:cs="Times New Roman"/>
          <w:color w:val="auto"/>
        </w:rPr>
        <w:t xml:space="preserve">Detailed guide on </w:t>
      </w:r>
      <w:r w:rsidR="00000000" w:rsidRPr="00F30F55">
        <w:rPr>
          <w:rFonts w:ascii="Times New Roman" w:hAnsi="Times New Roman" w:cs="Times New Roman"/>
          <w:color w:val="auto"/>
        </w:rPr>
        <w:t>Sub-Themes and Proposed Presentation Topics</w:t>
      </w:r>
    </w:p>
    <w:p w:rsidR="007230ED" w:rsidRPr="00F30F55" w:rsidRDefault="00000000" w:rsidP="00E527F5">
      <w:pPr>
        <w:spacing w:before="60" w:after="60"/>
        <w:jc w:val="both"/>
        <w:rPr>
          <w:rFonts w:ascii="Times New Roman" w:hAnsi="Times New Roman" w:cs="Times New Roman"/>
          <w:color w:val="auto"/>
        </w:rPr>
      </w:pPr>
      <w:r w:rsidRPr="00F30F55">
        <w:rPr>
          <w:rFonts w:ascii="Times New Roman" w:hAnsi="Times New Roman" w:cs="Times New Roman"/>
          <w:color w:val="auto"/>
        </w:rPr>
        <w:t>The symposium is organised around three sub-themes. Each sub-theme accommodates up to three invited presentations of 30 minutes each, followed by 30 minutes of structured discussion. The proposed topics below are offered as a substantive starting point; invited presenters are encouraged to build on these or propose related angles within each sub-theme.</w:t>
      </w:r>
    </w:p>
    <w:p w:rsidR="007230ED" w:rsidRPr="00F30F55" w:rsidRDefault="007230ED">
      <w:pPr>
        <w:spacing w:before="80" w:after="6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CE5ED6">
        <w:trPr>
          <w:trHeight w:val="1097"/>
        </w:trPr>
        <w:tc>
          <w:tcPr>
            <w:tcW w:w="9360" w:type="dxa"/>
          </w:tcPr>
          <w:p w:rsidR="007230ED" w:rsidRPr="00F30F55" w:rsidRDefault="00000000">
            <w:pPr>
              <w:spacing w:after="20"/>
              <w:rPr>
                <w:rFonts w:ascii="Times New Roman" w:hAnsi="Times New Roman" w:cs="Times New Roman"/>
                <w:color w:val="auto"/>
              </w:rPr>
            </w:pPr>
            <w:r w:rsidRPr="00F30F55">
              <w:rPr>
                <w:rFonts w:ascii="Times New Roman" w:hAnsi="Times New Roman" w:cs="Times New Roman"/>
                <w:b/>
                <w:bCs/>
                <w:color w:val="auto"/>
                <w:sz w:val="20"/>
                <w:szCs w:val="20"/>
              </w:rPr>
              <w:t>SUB-THEME A</w:t>
            </w:r>
          </w:p>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4"/>
                <w:szCs w:val="24"/>
              </w:rPr>
              <w:t>Professional Identity: Who Are We and What Do We Stand For?</w:t>
            </w:r>
          </w:p>
          <w:p w:rsidR="007230ED" w:rsidRPr="00F30F55" w:rsidRDefault="00000000">
            <w:pPr>
              <w:spacing w:before="40"/>
              <w:rPr>
                <w:rFonts w:ascii="Times New Roman" w:hAnsi="Times New Roman" w:cs="Times New Roman"/>
                <w:color w:val="auto"/>
              </w:rPr>
            </w:pPr>
            <w:r w:rsidRPr="00F30F55">
              <w:rPr>
                <w:rFonts w:ascii="Times New Roman" w:hAnsi="Times New Roman" w:cs="Times New Roman"/>
                <w:i/>
                <w:iCs/>
                <w:color w:val="auto"/>
                <w:sz w:val="20"/>
                <w:szCs w:val="20"/>
              </w:rPr>
              <w:t>What does it mean to be a sociologist/anthropologist? How should the discipline position itself relative to other social sciences, and what standards and accreditation mechanisms are needed?</w:t>
            </w:r>
          </w:p>
        </w:tc>
      </w:tr>
    </w:tbl>
    <w:p w:rsidR="007230ED" w:rsidRPr="00F30F55" w:rsidRDefault="007230ED">
      <w:pPr>
        <w:spacing w:before="10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CE5ED6">
        <w:tc>
          <w:tcPr>
            <w:tcW w:w="936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rPr>
              <w:lastRenderedPageBreak/>
              <w:t>Presentation A1:  Naming the Discipline: Sociology and Anthropology in the Eyes of Employers, Policymakers and the Public</w:t>
            </w:r>
          </w:p>
        </w:tc>
      </w:tr>
      <w:tr w:rsidR="00F30F55" w:rsidRPr="00F30F55" w:rsidTr="00CE5ED6">
        <w:tc>
          <w:tcPr>
            <w:tcW w:w="9360" w:type="dxa"/>
          </w:tcPr>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Rationale</w:t>
            </w:r>
          </w:p>
          <w:p w:rsidR="007230ED" w:rsidRPr="00F30F55" w:rsidRDefault="00000000" w:rsidP="00E527F5">
            <w:pPr>
              <w:spacing w:after="80"/>
              <w:jc w:val="both"/>
              <w:rPr>
                <w:rFonts w:ascii="Times New Roman" w:hAnsi="Times New Roman" w:cs="Times New Roman"/>
                <w:color w:val="auto"/>
              </w:rPr>
            </w:pPr>
            <w:r w:rsidRPr="00F30F55">
              <w:rPr>
                <w:rFonts w:ascii="Times New Roman" w:hAnsi="Times New Roman" w:cs="Times New Roman"/>
                <w:color w:val="auto"/>
                <w:sz w:val="20"/>
                <w:szCs w:val="20"/>
              </w:rPr>
              <w:t xml:space="preserve">Despite decades of academic output, sociology and anthropology graduates across Eastern Africa frequently confront misrecognition from employers and policymakers who </w:t>
            </w:r>
            <w:r w:rsidR="00E527F5" w:rsidRPr="00F30F55">
              <w:rPr>
                <w:rFonts w:ascii="Times New Roman" w:hAnsi="Times New Roman" w:cs="Times New Roman"/>
                <w:color w:val="auto"/>
                <w:sz w:val="20"/>
                <w:szCs w:val="20"/>
              </w:rPr>
              <w:t>confuse</w:t>
            </w:r>
            <w:r w:rsidRPr="00F30F55">
              <w:rPr>
                <w:rFonts w:ascii="Times New Roman" w:hAnsi="Times New Roman" w:cs="Times New Roman"/>
                <w:color w:val="auto"/>
                <w:sz w:val="20"/>
                <w:szCs w:val="20"/>
              </w:rPr>
              <w:t xml:space="preserve"> them with social work, economics or NGO programming. This presentation examines perceptions of the discipline held by key external actors and proposes strategies for disciplinary branding.</w:t>
            </w:r>
          </w:p>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Key questions to address</w:t>
            </w:r>
          </w:p>
          <w:p w:rsidR="007230ED" w:rsidRPr="00F30F55" w:rsidRDefault="00000000" w:rsidP="00E527F5">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How do employers, government ministries and funding agencies in the region perceive and categorise sociology and anthropology graduates?</w:t>
            </w:r>
          </w:p>
          <w:p w:rsidR="007230ED" w:rsidRPr="00F30F55" w:rsidRDefault="00000000" w:rsidP="00E527F5">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narratives do practitioners currently use to explain their discipline and how effective are they?</w:t>
            </w:r>
          </w:p>
          <w:p w:rsidR="007230ED" w:rsidRPr="00F30F55" w:rsidRDefault="00000000" w:rsidP="00E527F5">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rebranding or advocacy strategies have proven effective in other regions or disciplines and what can Eastern Africa adopt?</w:t>
            </w:r>
          </w:p>
          <w:p w:rsidR="007230ED" w:rsidRPr="00F30F55" w:rsidRDefault="00000000" w:rsidP="00E527F5">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How can national associations like USAA position the discipline more assertively in national development frameworks?</w:t>
            </w:r>
          </w:p>
        </w:tc>
      </w:tr>
    </w:tbl>
    <w:p w:rsidR="007230ED" w:rsidRPr="00F30F55" w:rsidRDefault="007230ED">
      <w:pPr>
        <w:spacing w:before="8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CE5ED6">
        <w:tc>
          <w:tcPr>
            <w:tcW w:w="936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rPr>
              <w:t>Presentation A2:  Curriculum, Accreditation and Standards: Towards a Regional Framework for Sociology and Anthropology Education</w:t>
            </w:r>
          </w:p>
        </w:tc>
      </w:tr>
      <w:tr w:rsidR="00F30F55" w:rsidRPr="00F30F55" w:rsidTr="00CE5ED6">
        <w:tc>
          <w:tcPr>
            <w:tcW w:w="9360" w:type="dxa"/>
          </w:tcPr>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Rationale</w:t>
            </w:r>
          </w:p>
          <w:p w:rsidR="007230ED" w:rsidRPr="00F30F55" w:rsidRDefault="00000000" w:rsidP="00CE5ED6">
            <w:pPr>
              <w:spacing w:after="80"/>
              <w:jc w:val="both"/>
              <w:rPr>
                <w:rFonts w:ascii="Times New Roman" w:hAnsi="Times New Roman" w:cs="Times New Roman"/>
                <w:color w:val="auto"/>
              </w:rPr>
            </w:pPr>
            <w:r w:rsidRPr="00F30F55">
              <w:rPr>
                <w:rFonts w:ascii="Times New Roman" w:hAnsi="Times New Roman" w:cs="Times New Roman"/>
                <w:color w:val="auto"/>
                <w:sz w:val="20"/>
                <w:szCs w:val="20"/>
              </w:rPr>
              <w:t>A fragmented and inconsistent curriculum landscape across universities in the region undermines the portability of qualifications and the coherence of professional identity. This presentation explores the state of sociology and anthropology curricula across Eastern Africa and makes the case for a regional accreditation and quality assurance framework.</w:t>
            </w:r>
          </w:p>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Key questions to address</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How comparable are sociology and anthropology programmes across universities in Uganda, Kenya, Tanzania, Rwanda and beyond?</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are the key gaps between what universities train graduates to do and what the labour market and civil society require?</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models of regional academic accreditation exist in other disciplines (e.g. medicine, engineering, law) that sociology and anthropology can adapt?</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role can USAA and the ISA play in facilitating curriculum harmonisation across the region?</w:t>
            </w:r>
          </w:p>
        </w:tc>
      </w:tr>
    </w:tbl>
    <w:p w:rsidR="007230ED" w:rsidRPr="00F30F55" w:rsidRDefault="007230ED">
      <w:pPr>
        <w:spacing w:before="8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CE5ED6">
        <w:tc>
          <w:tcPr>
            <w:tcW w:w="936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rPr>
              <w:t>Presentation A3:  Decolonising the Canon: Rethinking Theoretical Frameworks Through African Sociological and Anthropological Thought</w:t>
            </w:r>
          </w:p>
        </w:tc>
      </w:tr>
      <w:tr w:rsidR="00F30F55" w:rsidRPr="00F30F55" w:rsidTr="00CE5ED6">
        <w:tc>
          <w:tcPr>
            <w:tcW w:w="9360" w:type="dxa"/>
          </w:tcPr>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Rationale</w:t>
            </w:r>
          </w:p>
          <w:p w:rsidR="007230ED" w:rsidRPr="00F30F55" w:rsidRDefault="00000000" w:rsidP="00CE5ED6">
            <w:pPr>
              <w:spacing w:after="80"/>
              <w:jc w:val="both"/>
              <w:rPr>
                <w:rFonts w:ascii="Times New Roman" w:hAnsi="Times New Roman" w:cs="Times New Roman"/>
                <w:color w:val="auto"/>
              </w:rPr>
            </w:pPr>
            <w:r w:rsidRPr="00F30F55">
              <w:rPr>
                <w:rFonts w:ascii="Times New Roman" w:hAnsi="Times New Roman" w:cs="Times New Roman"/>
                <w:color w:val="auto"/>
                <w:sz w:val="20"/>
                <w:szCs w:val="20"/>
              </w:rPr>
              <w:t>The theoretical canon taught and applied in Eastern African sociology and anthropology departments remains heavily Western-centric, creating a persistent tension between global theory and local social reality. This presentation challenges practitioners to examine this asymmetry and elevate African intellectual traditions and scholars as legitimate bases of professional identity.</w:t>
            </w:r>
          </w:p>
          <w:p w:rsidR="007230ED" w:rsidRPr="00F30F55" w:rsidRDefault="00000000" w:rsidP="00CE5ED6">
            <w:pPr>
              <w:spacing w:before="60" w:after="40"/>
              <w:jc w:val="both"/>
              <w:rPr>
                <w:rFonts w:ascii="Times New Roman" w:hAnsi="Times New Roman" w:cs="Times New Roman"/>
                <w:color w:val="auto"/>
              </w:rPr>
            </w:pPr>
            <w:r w:rsidRPr="00F30F55">
              <w:rPr>
                <w:rFonts w:ascii="Times New Roman" w:hAnsi="Times New Roman" w:cs="Times New Roman"/>
                <w:b/>
                <w:bCs/>
                <w:color w:val="auto"/>
                <w:sz w:val="20"/>
                <w:szCs w:val="20"/>
              </w:rPr>
              <w:t>Key questions to address</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To what extent do current curricula and research outputs in the region reflect African social realities versus imported theoretical frameworks?</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Who are the intellectual ancestors of an Eastern African sociology and anthropology and how prominently do they feature in training and research?</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does ‘decolonising’ the discipline mean in practical terms for a practitioner working in Kampala, Nairobi or Kigali?</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How can professional associations promote an indigenous theoretical identity without retreating into intellectual isolationism?</w:t>
            </w:r>
          </w:p>
        </w:tc>
      </w:tr>
    </w:tbl>
    <w:p w:rsidR="007230ED" w:rsidRPr="00F30F55" w:rsidRDefault="007230ED">
      <w:pPr>
        <w:spacing w:before="12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CE5ED6">
        <w:tc>
          <w:tcPr>
            <w:tcW w:w="9360" w:type="dxa"/>
          </w:tcPr>
          <w:p w:rsidR="007230ED" w:rsidRPr="00F30F55" w:rsidRDefault="00000000">
            <w:pPr>
              <w:spacing w:after="20"/>
              <w:rPr>
                <w:rFonts w:ascii="Times New Roman" w:hAnsi="Times New Roman" w:cs="Times New Roman"/>
                <w:color w:val="auto"/>
              </w:rPr>
            </w:pPr>
            <w:r w:rsidRPr="00F30F55">
              <w:rPr>
                <w:rFonts w:ascii="Times New Roman" w:hAnsi="Times New Roman" w:cs="Times New Roman"/>
                <w:b/>
                <w:bCs/>
                <w:color w:val="auto"/>
                <w:sz w:val="20"/>
                <w:szCs w:val="20"/>
              </w:rPr>
              <w:t>SUB-THEME B</w:t>
            </w:r>
          </w:p>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4"/>
                <w:szCs w:val="24"/>
              </w:rPr>
              <w:lastRenderedPageBreak/>
              <w:t>Networks: Collaboration as a Professional Strategy</w:t>
            </w:r>
          </w:p>
          <w:p w:rsidR="007230ED" w:rsidRPr="00F30F55" w:rsidRDefault="00000000">
            <w:pPr>
              <w:spacing w:before="40"/>
              <w:rPr>
                <w:rFonts w:ascii="Times New Roman" w:hAnsi="Times New Roman" w:cs="Times New Roman"/>
                <w:color w:val="auto"/>
              </w:rPr>
            </w:pPr>
            <w:r w:rsidRPr="00F30F55">
              <w:rPr>
                <w:rFonts w:ascii="Times New Roman" w:hAnsi="Times New Roman" w:cs="Times New Roman"/>
                <w:i/>
                <w:iCs/>
                <w:color w:val="auto"/>
                <w:sz w:val="20"/>
                <w:szCs w:val="20"/>
              </w:rPr>
              <w:t>Experiences of networking and collaboration in enhancing professional effectiveness in sociology and anthropology.</w:t>
            </w:r>
          </w:p>
        </w:tc>
      </w:tr>
    </w:tbl>
    <w:p w:rsidR="007230ED" w:rsidRPr="00F30F55" w:rsidRDefault="007230ED">
      <w:pPr>
        <w:spacing w:before="10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CE5ED6">
        <w:tc>
          <w:tcPr>
            <w:tcW w:w="936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rPr>
              <w:t>Presentation B1:  Across Borders, Beyond Boundaries: Experiences of Cross-National Research Collaboration in Eastern Africa</w:t>
            </w:r>
          </w:p>
        </w:tc>
      </w:tr>
      <w:tr w:rsidR="00F30F55" w:rsidRPr="00F30F55" w:rsidTr="00CE5ED6">
        <w:tc>
          <w:tcPr>
            <w:tcW w:w="9360" w:type="dxa"/>
          </w:tcPr>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Rationale</w:t>
            </w:r>
          </w:p>
          <w:p w:rsidR="007230ED" w:rsidRPr="00F30F55" w:rsidRDefault="00000000" w:rsidP="00CE5ED6">
            <w:pPr>
              <w:spacing w:after="80"/>
              <w:jc w:val="both"/>
              <w:rPr>
                <w:rFonts w:ascii="Times New Roman" w:hAnsi="Times New Roman" w:cs="Times New Roman"/>
                <w:color w:val="auto"/>
              </w:rPr>
            </w:pPr>
            <w:r w:rsidRPr="00F30F55">
              <w:rPr>
                <w:rFonts w:ascii="Times New Roman" w:hAnsi="Times New Roman" w:cs="Times New Roman"/>
                <w:color w:val="auto"/>
                <w:sz w:val="20"/>
                <w:szCs w:val="20"/>
              </w:rPr>
              <w:t>Multi-country collaborative research is increasingly recognised as the gold standard in social science output, yet structural and resource barriers continue to frustrate its realisation in the region. This presentation draws on direct experience of cross-national research partnerships to distil lessons and propose an enabling model for Eastern Africa.</w:t>
            </w:r>
          </w:p>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Key questions to address</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concrete examples of successful cross-national sociology and anthropology research collaborations exist in the region, and what made them work?</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are the most persistent barriers to cross-border collaboration (funding structures, visa regimes, unequal institutional capacities, language, ethics review differences)?</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structures, platforms or agreements between universities and professional associations could systematically reduce these barriers?</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How do power asymmetries between Northern and Southern institutions shape collaborative research, and how should Eastern African practitioners navigate them?</w:t>
            </w:r>
          </w:p>
        </w:tc>
      </w:tr>
    </w:tbl>
    <w:p w:rsidR="007230ED" w:rsidRPr="00F30F55" w:rsidRDefault="007230ED">
      <w:pPr>
        <w:spacing w:before="8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CE5ED6">
        <w:tc>
          <w:tcPr>
            <w:tcW w:w="936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rPr>
              <w:t>Presentation B2:  From Association to Action: How National Sociological and Anthropological Associations Are Driving Professional Development</w:t>
            </w:r>
          </w:p>
        </w:tc>
      </w:tr>
      <w:tr w:rsidR="00F30F55" w:rsidRPr="00F30F55" w:rsidTr="00CE5ED6">
        <w:tc>
          <w:tcPr>
            <w:tcW w:w="9360" w:type="dxa"/>
          </w:tcPr>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Rationale</w:t>
            </w:r>
          </w:p>
          <w:p w:rsidR="007230ED" w:rsidRPr="00F30F55" w:rsidRDefault="00000000" w:rsidP="00CE5ED6">
            <w:pPr>
              <w:spacing w:after="80"/>
              <w:jc w:val="both"/>
              <w:rPr>
                <w:rFonts w:ascii="Times New Roman" w:hAnsi="Times New Roman" w:cs="Times New Roman"/>
                <w:color w:val="auto"/>
              </w:rPr>
            </w:pPr>
            <w:r w:rsidRPr="00F30F55">
              <w:rPr>
                <w:rFonts w:ascii="Times New Roman" w:hAnsi="Times New Roman" w:cs="Times New Roman"/>
                <w:color w:val="auto"/>
                <w:sz w:val="20"/>
                <w:szCs w:val="20"/>
              </w:rPr>
              <w:t>Professional associations are uniquely positioned to aggregate individual practitioners into a collective professional force. This presentation examines how national associations in Eastern Africa are—or are not—fulfilling their mandate of professional development, advocacy and networking, drawing lessons relevant for USAA and the region.</w:t>
            </w:r>
          </w:p>
          <w:p w:rsidR="007230ED" w:rsidRPr="00F30F55" w:rsidRDefault="00000000" w:rsidP="00CE5ED6">
            <w:pPr>
              <w:spacing w:before="60" w:after="40"/>
              <w:jc w:val="both"/>
              <w:rPr>
                <w:rFonts w:ascii="Times New Roman" w:hAnsi="Times New Roman" w:cs="Times New Roman"/>
                <w:color w:val="auto"/>
              </w:rPr>
            </w:pPr>
            <w:r w:rsidRPr="00F30F55">
              <w:rPr>
                <w:rFonts w:ascii="Times New Roman" w:hAnsi="Times New Roman" w:cs="Times New Roman"/>
                <w:b/>
                <w:bCs/>
                <w:color w:val="auto"/>
                <w:sz w:val="20"/>
                <w:szCs w:val="20"/>
              </w:rPr>
              <w:t>Key questions to address</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is the current state of national sociological and anthropological associations in the region: membership, governance, funding and programme activity?</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types of networking and professional development activities have proven most valuable to members, and why?</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How do associations sustain themselves financially and institutionally in contexts of limited institutional support?</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would a genuinely effective Eastern Africa regional association of sociologists and anthropologists look like, and what steps would bring it into existence?</w:t>
            </w:r>
          </w:p>
        </w:tc>
      </w:tr>
    </w:tbl>
    <w:p w:rsidR="007230ED" w:rsidRPr="00F30F55" w:rsidRDefault="007230ED">
      <w:pPr>
        <w:spacing w:before="8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CE5ED6">
        <w:tc>
          <w:tcPr>
            <w:tcW w:w="936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rPr>
              <w:t>Presentation B3:  Digital Communities of Practice: Leveraging Technology to Sustain Professional Networks in a Resource-Constrained Region</w:t>
            </w:r>
          </w:p>
        </w:tc>
      </w:tr>
      <w:tr w:rsidR="00F30F55" w:rsidRPr="00F30F55" w:rsidTr="00CE5ED6">
        <w:tc>
          <w:tcPr>
            <w:tcW w:w="9360" w:type="dxa"/>
          </w:tcPr>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Rationale</w:t>
            </w:r>
          </w:p>
          <w:p w:rsidR="007230ED" w:rsidRPr="00F30F55" w:rsidRDefault="00000000" w:rsidP="00CE5ED6">
            <w:pPr>
              <w:spacing w:after="80"/>
              <w:jc w:val="both"/>
              <w:rPr>
                <w:rFonts w:ascii="Times New Roman" w:hAnsi="Times New Roman" w:cs="Times New Roman"/>
                <w:color w:val="auto"/>
              </w:rPr>
            </w:pPr>
            <w:r w:rsidRPr="00F30F55">
              <w:rPr>
                <w:rFonts w:ascii="Times New Roman" w:hAnsi="Times New Roman" w:cs="Times New Roman"/>
                <w:color w:val="auto"/>
                <w:sz w:val="20"/>
                <w:szCs w:val="20"/>
              </w:rPr>
              <w:t>The proliferation of digital tools, from WhatsApp groups and virtual conferences to open-access repositories, has fundamentally altered the possibilities for professional networking. This presentation examines how Eastern African sociologists and anthropologists are exploiting these tools and what a strategic digital networking infrastructure for the region might look like.</w:t>
            </w:r>
          </w:p>
          <w:p w:rsidR="007230ED" w:rsidRPr="00F30F55" w:rsidRDefault="00000000" w:rsidP="00CE5ED6">
            <w:pPr>
              <w:spacing w:before="60" w:after="40"/>
              <w:jc w:val="both"/>
              <w:rPr>
                <w:rFonts w:ascii="Times New Roman" w:hAnsi="Times New Roman" w:cs="Times New Roman"/>
                <w:color w:val="auto"/>
              </w:rPr>
            </w:pPr>
            <w:r w:rsidRPr="00F30F55">
              <w:rPr>
                <w:rFonts w:ascii="Times New Roman" w:hAnsi="Times New Roman" w:cs="Times New Roman"/>
                <w:b/>
                <w:bCs/>
                <w:color w:val="auto"/>
                <w:sz w:val="20"/>
                <w:szCs w:val="20"/>
              </w:rPr>
              <w:t>Key questions to address</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digital platforms and tools are sociology and anthropology practitioners in the region currently using for professional networking and knowledge sharing?</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are the specific limitations of digital-only networking in contexts of bandwidth constraints, electricity unreliability and varying digital literacy?</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lastRenderedPageBreak/>
              <w:t>How can professional associations curate and manage digital spaces to maintain quality, inclusivity and active participation?</w:t>
            </w:r>
          </w:p>
          <w:p w:rsidR="007230ED" w:rsidRPr="00F30F55" w:rsidRDefault="00000000" w:rsidP="00CE5ED6">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models from other professions or regions (e.g. African Studies Association, AAA) offer transferable lessons for a regional digital community of practice?</w:t>
            </w:r>
          </w:p>
        </w:tc>
      </w:tr>
    </w:tbl>
    <w:p w:rsidR="007230ED" w:rsidRPr="00F30F55" w:rsidRDefault="007230ED">
      <w:pPr>
        <w:spacing w:before="12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8C6797">
        <w:tc>
          <w:tcPr>
            <w:tcW w:w="9360" w:type="dxa"/>
          </w:tcPr>
          <w:p w:rsidR="007230ED" w:rsidRPr="00F30F55" w:rsidRDefault="00000000">
            <w:pPr>
              <w:spacing w:after="20"/>
              <w:rPr>
                <w:rFonts w:ascii="Times New Roman" w:hAnsi="Times New Roman" w:cs="Times New Roman"/>
                <w:color w:val="auto"/>
              </w:rPr>
            </w:pPr>
            <w:r w:rsidRPr="00F30F55">
              <w:rPr>
                <w:rFonts w:ascii="Times New Roman" w:hAnsi="Times New Roman" w:cs="Times New Roman"/>
                <w:b/>
                <w:bCs/>
                <w:color w:val="auto"/>
                <w:sz w:val="20"/>
                <w:szCs w:val="20"/>
              </w:rPr>
              <w:t>SUB-THEME C</w:t>
            </w:r>
          </w:p>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sz w:val="24"/>
                <w:szCs w:val="24"/>
              </w:rPr>
              <w:t>Social Relevance: The Discipline in Service of Society</w:t>
            </w:r>
          </w:p>
          <w:p w:rsidR="007230ED" w:rsidRPr="00F30F55" w:rsidRDefault="00000000">
            <w:pPr>
              <w:spacing w:before="40"/>
              <w:rPr>
                <w:rFonts w:ascii="Times New Roman" w:hAnsi="Times New Roman" w:cs="Times New Roman"/>
                <w:color w:val="auto"/>
              </w:rPr>
            </w:pPr>
            <w:r w:rsidRPr="00F30F55">
              <w:rPr>
                <w:rFonts w:ascii="Times New Roman" w:hAnsi="Times New Roman" w:cs="Times New Roman"/>
                <w:i/>
                <w:iCs/>
                <w:color w:val="auto"/>
                <w:sz w:val="20"/>
                <w:szCs w:val="20"/>
              </w:rPr>
              <w:t>Experiences of application of sociological and anthropological knowledge, research and theory to address real-life issues and social transformation.</w:t>
            </w:r>
          </w:p>
        </w:tc>
      </w:tr>
    </w:tbl>
    <w:p w:rsidR="007230ED" w:rsidRPr="00F30F55" w:rsidRDefault="007230ED">
      <w:pPr>
        <w:spacing w:before="10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8C6797">
        <w:tc>
          <w:tcPr>
            <w:tcW w:w="936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rPr>
              <w:t>Presentation C1:  Reading the City Differently: Sociological and Anthropological Perspectives on Urban Poverty, Informality and the ‘City Peasant’ Phenomenon</w:t>
            </w:r>
          </w:p>
        </w:tc>
      </w:tr>
      <w:tr w:rsidR="00F30F55" w:rsidRPr="00F30F55" w:rsidTr="008C6797">
        <w:tc>
          <w:tcPr>
            <w:tcW w:w="9360" w:type="dxa"/>
          </w:tcPr>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Rationale</w:t>
            </w:r>
          </w:p>
          <w:p w:rsidR="007230ED" w:rsidRPr="00F30F55" w:rsidRDefault="00000000">
            <w:pPr>
              <w:spacing w:after="80"/>
              <w:rPr>
                <w:rFonts w:ascii="Times New Roman" w:hAnsi="Times New Roman" w:cs="Times New Roman"/>
                <w:color w:val="auto"/>
              </w:rPr>
            </w:pPr>
            <w:r w:rsidRPr="00F30F55">
              <w:rPr>
                <w:rFonts w:ascii="Times New Roman" w:hAnsi="Times New Roman" w:cs="Times New Roman"/>
                <w:color w:val="auto"/>
                <w:sz w:val="20"/>
                <w:szCs w:val="20"/>
              </w:rPr>
              <w:t>Rapid urbanisation across Eastern Africa is generating new forms of poverty, informality and social stratification that conventional economic or planning frameworks fail to adequately capture. Sociological and anthropological lenses—grounded in community-level ethnography and structural analysis—offer distinctive and actionable insight into these urban realities.</w:t>
            </w:r>
          </w:p>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Key questions to address</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How are sociologists and anthropologists in the region contributing to urban planning, housing policy and informal economy governance debates?</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concepts and frameworks from sociology and anthropology are most useful for understanding the lived realities of urban-poor communities in Eastern Africa?</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How can the discipline bridge the gap between ethnographically rich knowledge and the evidence demands of policymakers and development agencies?</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are concrete examples where sociological or anthropological insight has directly shaped urban policy or programme design in the region?</w:t>
            </w:r>
          </w:p>
        </w:tc>
      </w:tr>
    </w:tbl>
    <w:p w:rsidR="007230ED" w:rsidRPr="00F30F55" w:rsidRDefault="007230ED">
      <w:pPr>
        <w:spacing w:before="8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8C6797">
        <w:tc>
          <w:tcPr>
            <w:tcW w:w="936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rPr>
              <w:t>Presentation C2:  Health, Culture and Community: How Sociological and Anthropological Research Is Improving Health Outcomes in Eastern Africa</w:t>
            </w:r>
          </w:p>
        </w:tc>
      </w:tr>
      <w:tr w:rsidR="00F30F55" w:rsidRPr="00F30F55" w:rsidTr="008C6797">
        <w:tc>
          <w:tcPr>
            <w:tcW w:w="9360" w:type="dxa"/>
          </w:tcPr>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Rationale</w:t>
            </w:r>
          </w:p>
          <w:p w:rsidR="007230ED" w:rsidRPr="00F30F55" w:rsidRDefault="00000000" w:rsidP="008C6797">
            <w:pPr>
              <w:spacing w:after="80"/>
              <w:jc w:val="both"/>
              <w:rPr>
                <w:rFonts w:ascii="Times New Roman" w:hAnsi="Times New Roman" w:cs="Times New Roman"/>
                <w:color w:val="auto"/>
              </w:rPr>
            </w:pPr>
            <w:r w:rsidRPr="00F30F55">
              <w:rPr>
                <w:rFonts w:ascii="Times New Roman" w:hAnsi="Times New Roman" w:cs="Times New Roman"/>
                <w:color w:val="auto"/>
                <w:sz w:val="20"/>
                <w:szCs w:val="20"/>
              </w:rPr>
              <w:t>The persistent gap between biomedical prescriptions and community health behaviour is fundamentally a social and cultural challenge. Sociologists and anthropologists have long worked at this interface, yet their role in health systems and research teams remains marginal relative to their potential. This presentation showcases applied examples of the discipline’s impact on health in the region.</w:t>
            </w:r>
          </w:p>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Key questions to address</w:t>
            </w:r>
          </w:p>
          <w:p w:rsidR="007230ED" w:rsidRPr="00F30F55" w:rsidRDefault="00000000" w:rsidP="008C6797">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are the most compelling examples of sociological or anthropological research informing health policy, programme design or community health behaviour in the region?</w:t>
            </w:r>
          </w:p>
          <w:p w:rsidR="007230ED" w:rsidRPr="00F30F55" w:rsidRDefault="00000000" w:rsidP="008C6797">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How are practitioners navigating the institutional culture of health systems, which tends to privilege biomedical and quantitative evidence?</w:t>
            </w:r>
          </w:p>
          <w:p w:rsidR="007230ED" w:rsidRPr="00F30F55" w:rsidRDefault="00000000" w:rsidP="008C6797">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What frameworks—from medical sociology, the sociology of knowledge, or health anthropology—are most useful for applied health work in Eastern Africa?</w:t>
            </w:r>
          </w:p>
          <w:p w:rsidR="007230ED" w:rsidRPr="00F30F55" w:rsidRDefault="00000000" w:rsidP="008C6797">
            <w:pPr>
              <w:pStyle w:val="ListParagraph"/>
              <w:numPr>
                <w:ilvl w:val="0"/>
                <w:numId w:val="3"/>
              </w:numPr>
              <w:spacing w:before="30" w:after="30"/>
              <w:jc w:val="both"/>
              <w:rPr>
                <w:rFonts w:ascii="Times New Roman" w:hAnsi="Times New Roman" w:cs="Times New Roman"/>
                <w:color w:val="auto"/>
              </w:rPr>
            </w:pPr>
            <w:r w:rsidRPr="00F30F55">
              <w:rPr>
                <w:rFonts w:ascii="Times New Roman" w:hAnsi="Times New Roman" w:cs="Times New Roman"/>
                <w:color w:val="auto"/>
                <w:sz w:val="20"/>
                <w:szCs w:val="20"/>
              </w:rPr>
              <w:t>How can sociology and anthropology departments deepen partnerships with schools of public health, ministries of health and global health agencies?</w:t>
            </w:r>
          </w:p>
        </w:tc>
      </w:tr>
    </w:tbl>
    <w:p w:rsidR="007230ED" w:rsidRPr="00F30F55" w:rsidRDefault="007230ED">
      <w:pPr>
        <w:spacing w:before="80" w:after="80"/>
        <w:rPr>
          <w:rFonts w:ascii="Times New Roman" w:hAnsi="Times New Roman" w:cs="Times New Roman"/>
          <w:color w:val="auto"/>
        </w:rPr>
      </w:pPr>
    </w:p>
    <w:tbl>
      <w:tblPr>
        <w:tblStyle w:val="TableGrid"/>
        <w:tblW w:w="9360" w:type="dxa"/>
        <w:tblLook w:val="04A0" w:firstRow="1" w:lastRow="0" w:firstColumn="1" w:lastColumn="0" w:noHBand="0" w:noVBand="1"/>
      </w:tblPr>
      <w:tblGrid>
        <w:gridCol w:w="9360"/>
      </w:tblGrid>
      <w:tr w:rsidR="00F30F55" w:rsidRPr="00F30F55" w:rsidTr="008C6797">
        <w:tc>
          <w:tcPr>
            <w:tcW w:w="9360" w:type="dxa"/>
          </w:tcPr>
          <w:p w:rsidR="007230ED" w:rsidRPr="00F30F55" w:rsidRDefault="00000000">
            <w:pPr>
              <w:rPr>
                <w:rFonts w:ascii="Times New Roman" w:hAnsi="Times New Roman" w:cs="Times New Roman"/>
                <w:color w:val="auto"/>
              </w:rPr>
            </w:pPr>
            <w:r w:rsidRPr="00F30F55">
              <w:rPr>
                <w:rFonts w:ascii="Times New Roman" w:hAnsi="Times New Roman" w:cs="Times New Roman"/>
                <w:b/>
                <w:bCs/>
                <w:color w:val="auto"/>
              </w:rPr>
              <w:t>Presentation C3:  Conflict, Peacebuilding and Social Cohesion: The Role of Sociology and Anthropology in Post-Conflict Eastern African Societies</w:t>
            </w:r>
          </w:p>
        </w:tc>
      </w:tr>
      <w:tr w:rsidR="00F30F55" w:rsidRPr="00F30F55" w:rsidTr="008C6797">
        <w:tc>
          <w:tcPr>
            <w:tcW w:w="9360" w:type="dxa"/>
          </w:tcPr>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Rationale</w:t>
            </w:r>
          </w:p>
          <w:p w:rsidR="007230ED" w:rsidRPr="00F30F55" w:rsidRDefault="00000000">
            <w:pPr>
              <w:spacing w:after="80"/>
              <w:rPr>
                <w:rFonts w:ascii="Times New Roman" w:hAnsi="Times New Roman" w:cs="Times New Roman"/>
                <w:color w:val="auto"/>
              </w:rPr>
            </w:pPr>
            <w:r w:rsidRPr="00F30F55">
              <w:rPr>
                <w:rFonts w:ascii="Times New Roman" w:hAnsi="Times New Roman" w:cs="Times New Roman"/>
                <w:color w:val="auto"/>
                <w:sz w:val="20"/>
                <w:szCs w:val="20"/>
              </w:rPr>
              <w:lastRenderedPageBreak/>
              <w:t>Eastern Africa’s landscape includes societies navigating post-conflict reconstruction, inter-communal tensions and fragile peace processes. Sociology and anthropology, with their attention to identity, community dynamics, cultural memory and social institutions, have much to contribute—and much to demonstrate—in this space.</w:t>
            </w:r>
          </w:p>
          <w:p w:rsidR="007230ED" w:rsidRPr="00F30F55" w:rsidRDefault="00000000">
            <w:pPr>
              <w:spacing w:before="60" w:after="40"/>
              <w:rPr>
                <w:rFonts w:ascii="Times New Roman" w:hAnsi="Times New Roman" w:cs="Times New Roman"/>
                <w:color w:val="auto"/>
              </w:rPr>
            </w:pPr>
            <w:r w:rsidRPr="00F30F55">
              <w:rPr>
                <w:rFonts w:ascii="Times New Roman" w:hAnsi="Times New Roman" w:cs="Times New Roman"/>
                <w:b/>
                <w:bCs/>
                <w:color w:val="auto"/>
                <w:sz w:val="20"/>
                <w:szCs w:val="20"/>
              </w:rPr>
              <w:t>Key questions to address</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How have sociologists and anthropologists contributed to formal peace processes, transitional justice mechanisms or community-level reconciliation in the region?</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methods and frameworks are most appropriate for conducting ethical, responsible research in conflict-affected or post-conflict societies?</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How can the disciplines engage with—and critique—the largely externally-driven ‘peacebuilding industry’ that operates in the region?</w:t>
            </w:r>
          </w:p>
          <w:p w:rsidR="007230ED" w:rsidRPr="00F30F55" w:rsidRDefault="00000000">
            <w:pPr>
              <w:pStyle w:val="ListParagraph"/>
              <w:numPr>
                <w:ilvl w:val="0"/>
                <w:numId w:val="3"/>
              </w:numPr>
              <w:spacing w:before="30" w:after="30"/>
              <w:rPr>
                <w:rFonts w:ascii="Times New Roman" w:hAnsi="Times New Roman" w:cs="Times New Roman"/>
                <w:color w:val="auto"/>
              </w:rPr>
            </w:pPr>
            <w:r w:rsidRPr="00F30F55">
              <w:rPr>
                <w:rFonts w:ascii="Times New Roman" w:hAnsi="Times New Roman" w:cs="Times New Roman"/>
                <w:color w:val="auto"/>
                <w:sz w:val="20"/>
                <w:szCs w:val="20"/>
              </w:rPr>
              <w:t>What is the relationship between applied sociological/anthropological work and advocacy: can practitioners be both researchers and advocates?</w:t>
            </w:r>
          </w:p>
        </w:tc>
      </w:tr>
    </w:tbl>
    <w:p w:rsidR="00175B50" w:rsidRDefault="00175B50" w:rsidP="00F30F55">
      <w:pPr>
        <w:pStyle w:val="Heading1"/>
        <w:spacing w:before="0" w:after="0"/>
        <w:rPr>
          <w:rFonts w:ascii="Times New Roman" w:hAnsi="Times New Roman" w:cs="Times New Roman"/>
          <w:color w:val="auto"/>
        </w:rPr>
      </w:pPr>
    </w:p>
    <w:p w:rsidR="00175B50" w:rsidRDefault="00175B50" w:rsidP="00F30F55">
      <w:pPr>
        <w:pStyle w:val="Heading1"/>
        <w:spacing w:before="0" w:after="0"/>
        <w:rPr>
          <w:rFonts w:ascii="Times New Roman" w:hAnsi="Times New Roman" w:cs="Times New Roman"/>
          <w:color w:val="auto"/>
        </w:rPr>
      </w:pPr>
    </w:p>
    <w:p w:rsidR="00175B50" w:rsidRDefault="00175B50" w:rsidP="00F30F55">
      <w:pPr>
        <w:pStyle w:val="Heading1"/>
        <w:spacing w:before="0" w:after="0"/>
        <w:rPr>
          <w:rFonts w:ascii="Times New Roman" w:hAnsi="Times New Roman" w:cs="Times New Roman"/>
          <w:color w:val="auto"/>
        </w:rPr>
      </w:pPr>
    </w:p>
    <w:p w:rsidR="00175B50" w:rsidRDefault="00175B50" w:rsidP="00F30F55">
      <w:pPr>
        <w:pStyle w:val="Heading1"/>
        <w:spacing w:before="0" w:after="0"/>
        <w:rPr>
          <w:rFonts w:ascii="Times New Roman" w:hAnsi="Times New Roman" w:cs="Times New Roman"/>
          <w:color w:val="auto"/>
        </w:rPr>
      </w:pPr>
    </w:p>
    <w:sectPr w:rsidR="00175B50">
      <w:headerReference w:type="default" r:id="rId9"/>
      <w:foot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342E" w:rsidRDefault="0054342E">
      <w:r>
        <w:separator/>
      </w:r>
    </w:p>
  </w:endnote>
  <w:endnote w:type="continuationSeparator" w:id="0">
    <w:p w:rsidR="0054342E" w:rsidRDefault="0054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30ED" w:rsidRDefault="00000000">
    <w:pPr>
      <w:pBdr>
        <w:top w:val="single" w:sz="4" w:space="0" w:color="1A5632"/>
      </w:pBdr>
      <w:tabs>
        <w:tab w:val="right" w:pos="9026"/>
      </w:tabs>
      <w:spacing w:before="80"/>
    </w:pPr>
    <w:r>
      <w:rPr>
        <w:color w:val="3D3D3D"/>
        <w:sz w:val="16"/>
        <w:szCs w:val="16"/>
      </w:rPr>
      <w:t xml:space="preserve">USAA  |  </w:t>
    </w:r>
    <w:r w:rsidR="00E527F5">
      <w:rPr>
        <w:color w:val="3D3D3D"/>
        <w:sz w:val="16"/>
        <w:szCs w:val="16"/>
      </w:rPr>
      <w:t>info@usaaug.org</w:t>
    </w:r>
    <w:r>
      <w:rPr>
        <w:color w:val="3D3D3D"/>
        <w:sz w:val="16"/>
        <w:szCs w:val="16"/>
      </w:rPr>
      <w:t xml:space="preserve"> </w:t>
    </w:r>
    <w:r>
      <w:rPr>
        <w:sz w:val="16"/>
        <w:szCs w:val="16"/>
      </w:rPr>
      <w:tab/>
    </w:r>
    <w:r>
      <w:rPr>
        <w:color w:val="3D3D3D"/>
        <w:sz w:val="16"/>
        <w:szCs w:val="16"/>
      </w:rPr>
      <w:t xml:space="preserve">Page </w:t>
    </w:r>
    <w:r>
      <w:rPr>
        <w:color w:val="3D3D3D"/>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342E" w:rsidRDefault="0054342E">
      <w:r>
        <w:separator/>
      </w:r>
    </w:p>
  </w:footnote>
  <w:footnote w:type="continuationSeparator" w:id="0">
    <w:p w:rsidR="0054342E" w:rsidRDefault="0054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30ED" w:rsidRDefault="007230ED">
    <w:pPr>
      <w:pBdr>
        <w:bottom w:val="single" w:sz="4" w:space="0" w:color="1A5632"/>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657"/>
    <w:multiLevelType w:val="hybridMultilevel"/>
    <w:tmpl w:val="DF8A34D2"/>
    <w:lvl w:ilvl="0" w:tplc="E6969D48">
      <w:start w:val="1"/>
      <w:numFmt w:val="bullet"/>
      <w:lvlText w:val="•"/>
      <w:lvlJc w:val="left"/>
      <w:pPr>
        <w:ind w:left="720" w:hanging="360"/>
      </w:pPr>
    </w:lvl>
    <w:lvl w:ilvl="1" w:tplc="50B244B4">
      <w:start w:val="1"/>
      <w:numFmt w:val="bullet"/>
      <w:lvlText w:val="–"/>
      <w:lvlJc w:val="left"/>
      <w:pPr>
        <w:ind w:left="1080" w:hanging="360"/>
      </w:pPr>
    </w:lvl>
    <w:lvl w:ilvl="2" w:tplc="44CCBA58">
      <w:numFmt w:val="decimal"/>
      <w:lvlText w:val=""/>
      <w:lvlJc w:val="left"/>
    </w:lvl>
    <w:lvl w:ilvl="3" w:tplc="79FAFFE0">
      <w:numFmt w:val="decimal"/>
      <w:lvlText w:val=""/>
      <w:lvlJc w:val="left"/>
    </w:lvl>
    <w:lvl w:ilvl="4" w:tplc="C2A23EAE">
      <w:numFmt w:val="decimal"/>
      <w:lvlText w:val=""/>
      <w:lvlJc w:val="left"/>
    </w:lvl>
    <w:lvl w:ilvl="5" w:tplc="251C2B58">
      <w:numFmt w:val="decimal"/>
      <w:lvlText w:val=""/>
      <w:lvlJc w:val="left"/>
    </w:lvl>
    <w:lvl w:ilvl="6" w:tplc="191836CA">
      <w:numFmt w:val="decimal"/>
      <w:lvlText w:val=""/>
      <w:lvlJc w:val="left"/>
    </w:lvl>
    <w:lvl w:ilvl="7" w:tplc="715AFE62">
      <w:numFmt w:val="decimal"/>
      <w:lvlText w:val=""/>
      <w:lvlJc w:val="left"/>
    </w:lvl>
    <w:lvl w:ilvl="8" w:tplc="B6989174">
      <w:numFmt w:val="decimal"/>
      <w:lvlText w:val=""/>
      <w:lvlJc w:val="left"/>
    </w:lvl>
  </w:abstractNum>
  <w:abstractNum w:abstractNumId="1" w15:restartNumberingAfterBreak="0">
    <w:nsid w:val="23BC2168"/>
    <w:multiLevelType w:val="hybridMultilevel"/>
    <w:tmpl w:val="885CA4D8"/>
    <w:lvl w:ilvl="0" w:tplc="96F8547E">
      <w:start w:val="1"/>
      <w:numFmt w:val="decimal"/>
      <w:lvlText w:val="%1."/>
      <w:lvlJc w:val="left"/>
      <w:pPr>
        <w:ind w:left="720" w:hanging="360"/>
      </w:pPr>
    </w:lvl>
    <w:lvl w:ilvl="1" w:tplc="FE968624">
      <w:numFmt w:val="decimal"/>
      <w:lvlText w:val=""/>
      <w:lvlJc w:val="left"/>
    </w:lvl>
    <w:lvl w:ilvl="2" w:tplc="73FA9764">
      <w:numFmt w:val="decimal"/>
      <w:lvlText w:val=""/>
      <w:lvlJc w:val="left"/>
    </w:lvl>
    <w:lvl w:ilvl="3" w:tplc="854C4C56">
      <w:numFmt w:val="decimal"/>
      <w:lvlText w:val=""/>
      <w:lvlJc w:val="left"/>
    </w:lvl>
    <w:lvl w:ilvl="4" w:tplc="FFCCB9E0">
      <w:numFmt w:val="decimal"/>
      <w:lvlText w:val=""/>
      <w:lvlJc w:val="left"/>
    </w:lvl>
    <w:lvl w:ilvl="5" w:tplc="64A471E4">
      <w:numFmt w:val="decimal"/>
      <w:lvlText w:val=""/>
      <w:lvlJc w:val="left"/>
    </w:lvl>
    <w:lvl w:ilvl="6" w:tplc="BC661580">
      <w:numFmt w:val="decimal"/>
      <w:lvlText w:val=""/>
      <w:lvlJc w:val="left"/>
    </w:lvl>
    <w:lvl w:ilvl="7" w:tplc="42787C06">
      <w:numFmt w:val="decimal"/>
      <w:lvlText w:val=""/>
      <w:lvlJc w:val="left"/>
    </w:lvl>
    <w:lvl w:ilvl="8" w:tplc="7AD84260">
      <w:numFmt w:val="decimal"/>
      <w:lvlText w:val=""/>
      <w:lvlJc w:val="left"/>
    </w:lvl>
  </w:abstractNum>
  <w:abstractNum w:abstractNumId="2" w15:restartNumberingAfterBreak="0">
    <w:nsid w:val="55631168"/>
    <w:multiLevelType w:val="hybridMultilevel"/>
    <w:tmpl w:val="D33E6B2A"/>
    <w:lvl w:ilvl="0" w:tplc="A686D686">
      <w:start w:val="1"/>
      <w:numFmt w:val="bullet"/>
      <w:lvlText w:val="●"/>
      <w:lvlJc w:val="left"/>
      <w:pPr>
        <w:ind w:left="720" w:hanging="360"/>
      </w:pPr>
    </w:lvl>
    <w:lvl w:ilvl="1" w:tplc="8A0A1DDC">
      <w:start w:val="1"/>
      <w:numFmt w:val="bullet"/>
      <w:lvlText w:val="○"/>
      <w:lvlJc w:val="left"/>
      <w:pPr>
        <w:ind w:left="1440" w:hanging="360"/>
      </w:pPr>
    </w:lvl>
    <w:lvl w:ilvl="2" w:tplc="F5C2A326">
      <w:start w:val="1"/>
      <w:numFmt w:val="bullet"/>
      <w:lvlText w:val="■"/>
      <w:lvlJc w:val="left"/>
      <w:pPr>
        <w:ind w:left="2160" w:hanging="360"/>
      </w:pPr>
    </w:lvl>
    <w:lvl w:ilvl="3" w:tplc="6A20B46A">
      <w:start w:val="1"/>
      <w:numFmt w:val="bullet"/>
      <w:lvlText w:val="●"/>
      <w:lvlJc w:val="left"/>
      <w:pPr>
        <w:ind w:left="2880" w:hanging="360"/>
      </w:pPr>
    </w:lvl>
    <w:lvl w:ilvl="4" w:tplc="E6D4E4D4">
      <w:start w:val="1"/>
      <w:numFmt w:val="bullet"/>
      <w:lvlText w:val="○"/>
      <w:lvlJc w:val="left"/>
      <w:pPr>
        <w:ind w:left="3600" w:hanging="360"/>
      </w:pPr>
    </w:lvl>
    <w:lvl w:ilvl="5" w:tplc="3BDA903A">
      <w:start w:val="1"/>
      <w:numFmt w:val="bullet"/>
      <w:lvlText w:val="■"/>
      <w:lvlJc w:val="left"/>
      <w:pPr>
        <w:ind w:left="4320" w:hanging="360"/>
      </w:pPr>
    </w:lvl>
    <w:lvl w:ilvl="6" w:tplc="72687F94">
      <w:start w:val="1"/>
      <w:numFmt w:val="bullet"/>
      <w:lvlText w:val="●"/>
      <w:lvlJc w:val="left"/>
      <w:pPr>
        <w:ind w:left="5040" w:hanging="360"/>
      </w:pPr>
    </w:lvl>
    <w:lvl w:ilvl="7" w:tplc="B3A0AD86">
      <w:start w:val="1"/>
      <w:numFmt w:val="bullet"/>
      <w:lvlText w:val="●"/>
      <w:lvlJc w:val="left"/>
      <w:pPr>
        <w:ind w:left="5760" w:hanging="360"/>
      </w:pPr>
    </w:lvl>
    <w:lvl w:ilvl="8" w:tplc="9E7C70EE">
      <w:start w:val="1"/>
      <w:numFmt w:val="bullet"/>
      <w:lvlText w:val="●"/>
      <w:lvlJc w:val="left"/>
      <w:pPr>
        <w:ind w:left="6480" w:hanging="360"/>
      </w:pPr>
    </w:lvl>
  </w:abstractNum>
  <w:abstractNum w:abstractNumId="3" w15:restartNumberingAfterBreak="0">
    <w:nsid w:val="7E9E5438"/>
    <w:multiLevelType w:val="hybridMultilevel"/>
    <w:tmpl w:val="592C7D66"/>
    <w:lvl w:ilvl="0" w:tplc="450671C6">
      <w:start w:val="1"/>
      <w:numFmt w:val="lowerLetter"/>
      <w:lvlText w:val="%1."/>
      <w:lvlJc w:val="left"/>
      <w:pPr>
        <w:ind w:left="720" w:hanging="360"/>
      </w:pPr>
    </w:lvl>
    <w:lvl w:ilvl="1" w:tplc="48762D94">
      <w:numFmt w:val="decimal"/>
      <w:lvlText w:val=""/>
      <w:lvlJc w:val="left"/>
    </w:lvl>
    <w:lvl w:ilvl="2" w:tplc="15EC6900">
      <w:numFmt w:val="decimal"/>
      <w:lvlText w:val=""/>
      <w:lvlJc w:val="left"/>
    </w:lvl>
    <w:lvl w:ilvl="3" w:tplc="C04472DA">
      <w:numFmt w:val="decimal"/>
      <w:lvlText w:val=""/>
      <w:lvlJc w:val="left"/>
    </w:lvl>
    <w:lvl w:ilvl="4" w:tplc="AA52B5DE">
      <w:numFmt w:val="decimal"/>
      <w:lvlText w:val=""/>
      <w:lvlJc w:val="left"/>
    </w:lvl>
    <w:lvl w:ilvl="5" w:tplc="7334F53E">
      <w:numFmt w:val="decimal"/>
      <w:lvlText w:val=""/>
      <w:lvlJc w:val="left"/>
    </w:lvl>
    <w:lvl w:ilvl="6" w:tplc="DFFE8E6C">
      <w:numFmt w:val="decimal"/>
      <w:lvlText w:val=""/>
      <w:lvlJc w:val="left"/>
    </w:lvl>
    <w:lvl w:ilvl="7" w:tplc="5C2EDA44">
      <w:numFmt w:val="decimal"/>
      <w:lvlText w:val=""/>
      <w:lvlJc w:val="left"/>
    </w:lvl>
    <w:lvl w:ilvl="8" w:tplc="22B4B3F8">
      <w:numFmt w:val="decimal"/>
      <w:lvlText w:val=""/>
      <w:lvlJc w:val="left"/>
    </w:lvl>
  </w:abstractNum>
  <w:num w:numId="1" w16cid:durableId="124398934">
    <w:abstractNumId w:val="2"/>
    <w:lvlOverride w:ilvl="0">
      <w:startOverride w:val="1"/>
    </w:lvlOverride>
  </w:num>
  <w:num w:numId="2" w16cid:durableId="929391772">
    <w:abstractNumId w:val="1"/>
    <w:lvlOverride w:ilvl="0">
      <w:startOverride w:val="1"/>
    </w:lvlOverride>
  </w:num>
  <w:num w:numId="3" w16cid:durableId="1427924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ED"/>
    <w:rsid w:val="00012519"/>
    <w:rsid w:val="00124C82"/>
    <w:rsid w:val="00175B50"/>
    <w:rsid w:val="003A7CA0"/>
    <w:rsid w:val="0041475A"/>
    <w:rsid w:val="0054342E"/>
    <w:rsid w:val="007230ED"/>
    <w:rsid w:val="00786206"/>
    <w:rsid w:val="008C6797"/>
    <w:rsid w:val="00990E20"/>
    <w:rsid w:val="00A067BC"/>
    <w:rsid w:val="00C1495A"/>
    <w:rsid w:val="00CE5ED6"/>
    <w:rsid w:val="00D302A7"/>
    <w:rsid w:val="00E527F5"/>
    <w:rsid w:val="00F30F55"/>
    <w:rsid w:val="00F6640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ecimalSymbol w:val="."/>
  <w:listSeparator w:val=","/>
  <w14:docId w14:val="78DBCB2E"/>
  <w15:docId w15:val="{0118B229-0F8F-9648-A059-9BFB66AF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1A1A1A"/>
        <w:sz w:val="22"/>
        <w:szCs w:val="22"/>
        <w:lang w:val="en-U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A5632"/>
      <w:sz w:val="28"/>
      <w:szCs w:val="28"/>
    </w:rPr>
  </w:style>
  <w:style w:type="paragraph" w:styleId="Heading2">
    <w:name w:val="heading 2"/>
    <w:uiPriority w:val="9"/>
    <w:unhideWhenUsed/>
    <w:qFormat/>
    <w:pPr>
      <w:spacing w:before="240" w:after="80"/>
      <w:outlineLvl w:val="1"/>
    </w:pPr>
    <w:rPr>
      <w:b/>
      <w:bCs/>
      <w:color w:val="2E7D52"/>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527F5"/>
    <w:pPr>
      <w:tabs>
        <w:tab w:val="center" w:pos="4513"/>
        <w:tab w:val="right" w:pos="9026"/>
      </w:tabs>
    </w:pPr>
  </w:style>
  <w:style w:type="character" w:customStyle="1" w:styleId="HeaderChar">
    <w:name w:val="Header Char"/>
    <w:basedOn w:val="DefaultParagraphFont"/>
    <w:link w:val="Header"/>
    <w:uiPriority w:val="99"/>
    <w:rsid w:val="00E527F5"/>
  </w:style>
  <w:style w:type="paragraph" w:styleId="Footer">
    <w:name w:val="footer"/>
    <w:basedOn w:val="Normal"/>
    <w:link w:val="FooterChar"/>
    <w:uiPriority w:val="99"/>
    <w:unhideWhenUsed/>
    <w:rsid w:val="00E527F5"/>
    <w:pPr>
      <w:tabs>
        <w:tab w:val="center" w:pos="4513"/>
        <w:tab w:val="right" w:pos="9026"/>
      </w:tabs>
    </w:pPr>
  </w:style>
  <w:style w:type="character" w:customStyle="1" w:styleId="FooterChar">
    <w:name w:val="Footer Char"/>
    <w:basedOn w:val="DefaultParagraphFont"/>
    <w:link w:val="Footer"/>
    <w:uiPriority w:val="99"/>
    <w:rsid w:val="00E527F5"/>
  </w:style>
  <w:style w:type="table" w:styleId="TableGrid">
    <w:name w:val="Table Grid"/>
    <w:basedOn w:val="TableNormal"/>
    <w:uiPriority w:val="39"/>
    <w:rsid w:val="00E52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2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usaaug.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Palz Corner Establishments Limited</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Titus James TWESIGE</cp:lastModifiedBy>
  <cp:revision>6</cp:revision>
  <dcterms:created xsi:type="dcterms:W3CDTF">2026-06-04T07:54:00Z</dcterms:created>
  <dcterms:modified xsi:type="dcterms:W3CDTF">2026-06-17T09:50:00Z</dcterms:modified>
</cp:coreProperties>
</file>